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00D7" w14:textId="77777777" w:rsidR="0078213B" w:rsidRPr="00AB2868" w:rsidRDefault="0078213B" w:rsidP="0078213B">
      <w:pPr>
        <w:snapToGrid w:val="0"/>
        <w:spacing w:line="240" w:lineRule="atLeast"/>
        <w:rPr>
          <w:rFonts w:ascii="Arial" w:eastAsia="標楷體" w:hAnsi="Arial" w:cs="Arial"/>
          <w:sz w:val="36"/>
        </w:rPr>
      </w:pPr>
      <w:r w:rsidRPr="00AB2868">
        <w:rPr>
          <w:rFonts w:ascii="Arial" w:eastAsia="標楷體" w:hAnsi="Arial" w:cs="Arial"/>
          <w:sz w:val="36"/>
        </w:rPr>
        <w:t>台灣</w:t>
      </w:r>
      <w:proofErr w:type="gramStart"/>
      <w:r w:rsidRPr="00AB2868">
        <w:rPr>
          <w:rFonts w:ascii="Arial" w:eastAsia="標楷體" w:hAnsi="Arial" w:cs="Arial"/>
          <w:sz w:val="36"/>
        </w:rPr>
        <w:t>胸腔暨重症</w:t>
      </w:r>
      <w:proofErr w:type="gramEnd"/>
      <w:r w:rsidRPr="00AB2868">
        <w:rPr>
          <w:rFonts w:ascii="Arial" w:eastAsia="標楷體" w:hAnsi="Arial" w:cs="Arial"/>
          <w:sz w:val="36"/>
        </w:rPr>
        <w:t>加護醫學會評鑑各教學醫院胸腔</w:t>
      </w:r>
      <w:proofErr w:type="gramStart"/>
      <w:r w:rsidRPr="00AB2868">
        <w:rPr>
          <w:rFonts w:ascii="Arial" w:eastAsia="標楷體" w:hAnsi="Arial" w:cs="Arial"/>
          <w:sz w:val="36"/>
        </w:rPr>
        <w:t>內科暨重症</w:t>
      </w:r>
      <w:proofErr w:type="gramEnd"/>
      <w:r w:rsidRPr="00AB2868">
        <w:rPr>
          <w:rFonts w:ascii="Arial" w:eastAsia="標楷體" w:hAnsi="Arial" w:cs="Arial"/>
          <w:sz w:val="36"/>
        </w:rPr>
        <w:t>專科醫師訓練計劃評量表</w:t>
      </w:r>
    </w:p>
    <w:p w14:paraId="3BB3F7B8" w14:textId="77777777" w:rsidR="0078213B" w:rsidRPr="007C42EE" w:rsidRDefault="0078213B" w:rsidP="0078213B">
      <w:pPr>
        <w:pStyle w:val="a3"/>
        <w:tabs>
          <w:tab w:val="clear" w:pos="4153"/>
          <w:tab w:val="clear" w:pos="8306"/>
        </w:tabs>
        <w:autoSpaceDE/>
        <w:autoSpaceDN/>
        <w:adjustRightInd/>
        <w:spacing w:line="100" w:lineRule="atLeast"/>
        <w:rPr>
          <w:rFonts w:ascii="Arial" w:eastAsia="標楷體" w:hAnsi="Arial" w:cs="Arial"/>
          <w:kern w:val="2"/>
          <w:sz w:val="10"/>
        </w:rPr>
      </w:pPr>
    </w:p>
    <w:p w14:paraId="02332FDB" w14:textId="77777777" w:rsidR="0078213B" w:rsidRPr="00AB2868" w:rsidRDefault="0078213B" w:rsidP="0078213B">
      <w:pPr>
        <w:snapToGrid w:val="0"/>
        <w:spacing w:line="600" w:lineRule="atLeast"/>
        <w:rPr>
          <w:rFonts w:ascii="Arial" w:eastAsia="標楷體" w:hAnsi="Arial" w:cs="Arial"/>
          <w:sz w:val="30"/>
          <w:szCs w:val="30"/>
        </w:rPr>
      </w:pPr>
      <w:r w:rsidRPr="00AB2868">
        <w:rPr>
          <w:rFonts w:ascii="Arial" w:eastAsia="標楷體" w:hAnsi="Arial" w:cs="Arial"/>
          <w:sz w:val="30"/>
          <w:szCs w:val="30"/>
        </w:rPr>
        <w:t>醫院名稱：</w:t>
      </w:r>
      <w:r w:rsidRPr="00AB2868">
        <w:rPr>
          <w:rFonts w:ascii="Arial" w:eastAsia="標楷體" w:hAnsi="Arial" w:cs="Arial"/>
          <w:sz w:val="30"/>
          <w:szCs w:val="30"/>
          <w:u w:val="single"/>
        </w:rPr>
        <w:t xml:space="preserve">                                 </w:t>
      </w:r>
      <w:r>
        <w:rPr>
          <w:rFonts w:ascii="Arial" w:eastAsia="標楷體" w:hAnsi="Arial" w:cs="Arial" w:hint="eastAsia"/>
          <w:sz w:val="30"/>
          <w:szCs w:val="30"/>
          <w:u w:val="single"/>
        </w:rPr>
        <w:t xml:space="preserve">      </w:t>
      </w:r>
      <w:r w:rsidRPr="00AB2868">
        <w:rPr>
          <w:rFonts w:ascii="Arial" w:eastAsia="標楷體" w:hAnsi="Arial" w:cs="Arial"/>
          <w:sz w:val="30"/>
          <w:szCs w:val="30"/>
          <w:u w:val="single"/>
        </w:rPr>
        <w:t xml:space="preserve">       </w:t>
      </w:r>
      <w:r w:rsidRPr="00AB2868">
        <w:rPr>
          <w:rFonts w:ascii="Arial" w:eastAsia="標楷體" w:hAnsi="Arial" w:cs="Arial"/>
          <w:sz w:val="30"/>
          <w:szCs w:val="30"/>
        </w:rPr>
        <w:t xml:space="preserve">  </w:t>
      </w:r>
      <w:r w:rsidRPr="00AB2868">
        <w:rPr>
          <w:rFonts w:ascii="Arial" w:eastAsia="標楷體" w:hAnsi="Arial" w:cs="Arial"/>
          <w:sz w:val="30"/>
          <w:szCs w:val="30"/>
        </w:rPr>
        <w:t>考核日期：</w:t>
      </w:r>
      <w:r w:rsidRPr="00AB2868">
        <w:rPr>
          <w:rFonts w:ascii="Arial" w:eastAsia="標楷體" w:hAnsi="Arial" w:cs="Arial"/>
          <w:sz w:val="30"/>
          <w:szCs w:val="30"/>
        </w:rPr>
        <w:t xml:space="preserve">      </w:t>
      </w:r>
      <w:r w:rsidRPr="00AB2868">
        <w:rPr>
          <w:rFonts w:ascii="Arial" w:eastAsia="標楷體" w:hAnsi="Arial" w:cs="Arial"/>
          <w:sz w:val="30"/>
          <w:szCs w:val="30"/>
        </w:rPr>
        <w:t>年</w:t>
      </w:r>
      <w:r w:rsidRPr="00AB2868">
        <w:rPr>
          <w:rFonts w:ascii="Arial" w:eastAsia="標楷體" w:hAnsi="Arial" w:cs="Arial"/>
          <w:sz w:val="30"/>
          <w:szCs w:val="30"/>
        </w:rPr>
        <w:t xml:space="preserve">      </w:t>
      </w:r>
      <w:r w:rsidRPr="00AB2868">
        <w:rPr>
          <w:rFonts w:ascii="Arial" w:eastAsia="標楷體" w:hAnsi="Arial" w:cs="Arial"/>
          <w:sz w:val="30"/>
          <w:szCs w:val="30"/>
        </w:rPr>
        <w:t>月</w:t>
      </w:r>
      <w:r w:rsidRPr="00AB2868">
        <w:rPr>
          <w:rFonts w:ascii="Arial" w:eastAsia="標楷體" w:hAnsi="Arial" w:cs="Arial"/>
          <w:sz w:val="30"/>
          <w:szCs w:val="30"/>
        </w:rPr>
        <w:t xml:space="preserve">      </w:t>
      </w:r>
      <w:r w:rsidRPr="00AB2868">
        <w:rPr>
          <w:rFonts w:ascii="Arial" w:eastAsia="標楷體" w:hAnsi="Arial" w:cs="Arial"/>
          <w:sz w:val="30"/>
          <w:szCs w:val="30"/>
        </w:rPr>
        <w:t>日</w:t>
      </w:r>
    </w:p>
    <w:p w14:paraId="00BF8827" w14:textId="77777777" w:rsidR="0078213B" w:rsidRPr="007C42EE" w:rsidRDefault="0078213B" w:rsidP="0078213B">
      <w:pPr>
        <w:snapToGrid w:val="0"/>
        <w:spacing w:line="100" w:lineRule="atLeast"/>
        <w:rPr>
          <w:rFonts w:ascii="Arial" w:eastAsia="標楷體" w:hAnsi="Arial" w:cs="Arial"/>
          <w:sz w:val="10"/>
          <w:u w:val="singl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8319"/>
        <w:gridCol w:w="1015"/>
        <w:gridCol w:w="1015"/>
        <w:gridCol w:w="4313"/>
      </w:tblGrid>
      <w:tr w:rsidR="0078213B" w:rsidRPr="007C42EE" w14:paraId="36CC0B24" w14:textId="77777777" w:rsidTr="0078213B">
        <w:trPr>
          <w:cantSplit/>
          <w:trHeight w:val="520"/>
          <w:tblHeader/>
        </w:trPr>
        <w:tc>
          <w:tcPr>
            <w:tcW w:w="2938" w:type="pct"/>
            <w:gridSpan w:val="2"/>
            <w:vAlign w:val="center"/>
          </w:tcPr>
          <w:p w14:paraId="4ED6FE5C" w14:textId="77777777" w:rsidR="0078213B" w:rsidRPr="007C42EE" w:rsidRDefault="0078213B" w:rsidP="008A3670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7C42EE">
              <w:rPr>
                <w:rFonts w:ascii="Arial" w:eastAsia="標楷體" w:cs="Arial"/>
                <w:sz w:val="28"/>
              </w:rPr>
              <w:t>項目</w:t>
            </w:r>
          </w:p>
        </w:tc>
        <w:tc>
          <w:tcPr>
            <w:tcW w:w="330" w:type="pct"/>
            <w:vAlign w:val="center"/>
          </w:tcPr>
          <w:p w14:paraId="28E8F71E" w14:textId="77777777" w:rsidR="0078213B" w:rsidRPr="007C42EE" w:rsidRDefault="0078213B" w:rsidP="008A3670">
            <w:pPr>
              <w:framePr w:hSpace="180" w:wrap="around" w:vAnchor="page" w:hAnchor="text" w:x="470" w:y="689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該項</w:t>
            </w:r>
          </w:p>
          <w:p w14:paraId="0C5D0F9F" w14:textId="77777777" w:rsidR="0078213B" w:rsidRPr="007C42EE" w:rsidRDefault="0078213B" w:rsidP="008A3670">
            <w:pPr>
              <w:framePr w:hSpace="180" w:wrap="around" w:vAnchor="page" w:hAnchor="text" w:x="470" w:y="689"/>
              <w:snapToGrid w:val="0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最高分</w:t>
            </w:r>
          </w:p>
        </w:tc>
        <w:tc>
          <w:tcPr>
            <w:tcW w:w="330" w:type="pct"/>
            <w:vAlign w:val="center"/>
          </w:tcPr>
          <w:p w14:paraId="692CF271" w14:textId="77777777" w:rsidR="0078213B" w:rsidRPr="007C42EE" w:rsidRDefault="0078213B" w:rsidP="008A3670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得分</w:t>
            </w:r>
          </w:p>
        </w:tc>
        <w:tc>
          <w:tcPr>
            <w:tcW w:w="1402" w:type="pct"/>
            <w:vAlign w:val="center"/>
          </w:tcPr>
          <w:p w14:paraId="7C5DD547" w14:textId="77777777" w:rsidR="0078213B" w:rsidRPr="007C42EE" w:rsidRDefault="0078213B" w:rsidP="008A3670">
            <w:pPr>
              <w:spacing w:line="300" w:lineRule="exact"/>
              <w:jc w:val="center"/>
              <w:rPr>
                <w:rFonts w:ascii="Arial" w:hAnsi="Arial" w:cs="Arial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建議及說明</w:t>
            </w:r>
          </w:p>
        </w:tc>
      </w:tr>
      <w:tr w:rsidR="0078213B" w:rsidRPr="007C42EE" w14:paraId="4B5584B8" w14:textId="77777777" w:rsidTr="0078213B">
        <w:trPr>
          <w:cantSplit/>
          <w:trHeight w:val="520"/>
        </w:trPr>
        <w:tc>
          <w:tcPr>
            <w:tcW w:w="5000" w:type="pct"/>
            <w:gridSpan w:val="5"/>
            <w:vAlign w:val="center"/>
          </w:tcPr>
          <w:p w14:paraId="479C1EC7" w14:textId="03C262C7" w:rsidR="0078213B" w:rsidRPr="007C42EE" w:rsidRDefault="0078213B" w:rsidP="008A3670">
            <w:pPr>
              <w:snapToGrid w:val="0"/>
              <w:spacing w:line="300" w:lineRule="exact"/>
              <w:ind w:left="113" w:right="57"/>
              <w:jc w:val="both"/>
              <w:rPr>
                <w:rFonts w:ascii="Arial" w:hAnsi="Arial" w:cs="Arial"/>
              </w:rPr>
            </w:pPr>
            <w:r w:rsidRPr="007C42EE">
              <w:rPr>
                <w:rFonts w:ascii="Arial" w:eastAsia="標楷體" w:cs="Arial"/>
                <w:sz w:val="28"/>
              </w:rPr>
              <w:t>一</w:t>
            </w:r>
            <w:r>
              <w:rPr>
                <w:rFonts w:ascii="Arial" w:eastAsia="標楷體" w:cs="Arial" w:hint="eastAsia"/>
                <w:sz w:val="28"/>
              </w:rPr>
              <w:t>、</w:t>
            </w:r>
            <w:r w:rsidRPr="007C42EE">
              <w:rPr>
                <w:rFonts w:ascii="Arial" w:eastAsia="標楷體" w:cs="Arial"/>
                <w:sz w:val="28"/>
              </w:rPr>
              <w:t>師資：（二十％）</w:t>
            </w:r>
          </w:p>
        </w:tc>
      </w:tr>
      <w:tr w:rsidR="0078213B" w:rsidRPr="007C42EE" w14:paraId="771A9ED4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2AD16B2D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704" w:type="pct"/>
            <w:vAlign w:val="center"/>
          </w:tcPr>
          <w:p w14:paraId="3F095924" w14:textId="77777777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訓練計劃負責人</w:t>
            </w:r>
            <w:proofErr w:type="gramStart"/>
            <w:r w:rsidRPr="007C42EE">
              <w:rPr>
                <w:rFonts w:ascii="Arial" w:eastAsia="標楷體" w:cs="Arial"/>
                <w:sz w:val="28"/>
              </w:rPr>
              <w:t>之部定教師</w:t>
            </w:r>
            <w:proofErr w:type="gramEnd"/>
            <w:r w:rsidRPr="007C42EE">
              <w:rPr>
                <w:rFonts w:ascii="Arial" w:eastAsia="標楷體" w:cs="Arial"/>
                <w:sz w:val="28"/>
              </w:rPr>
              <w:t>資格。</w:t>
            </w:r>
          </w:p>
          <w:p w14:paraId="64AD91F8" w14:textId="23CB0308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（教授</w:t>
            </w:r>
            <w:r w:rsidR="008A3670">
              <w:rPr>
                <w:rFonts w:ascii="Arial" w:eastAsia="標楷體" w:cs="Arial" w:hint="eastAsia"/>
                <w:sz w:val="28"/>
              </w:rPr>
              <w:t>5</w:t>
            </w:r>
            <w:r w:rsidRPr="007C42EE">
              <w:rPr>
                <w:rFonts w:ascii="Arial" w:eastAsia="標楷體" w:cs="Arial"/>
                <w:sz w:val="28"/>
              </w:rPr>
              <w:t>分，副教授</w:t>
            </w:r>
            <w:r w:rsidR="008A3670">
              <w:rPr>
                <w:rFonts w:ascii="Arial" w:eastAsia="標楷體" w:cs="Arial" w:hint="eastAsia"/>
                <w:sz w:val="28"/>
              </w:rPr>
              <w:t>4</w:t>
            </w:r>
            <w:r w:rsidRPr="007C42EE">
              <w:rPr>
                <w:rFonts w:ascii="Arial" w:eastAsia="標楷體" w:cs="Arial"/>
                <w:sz w:val="28"/>
              </w:rPr>
              <w:t>分，講師</w:t>
            </w:r>
            <w:r w:rsidR="008A3670">
              <w:rPr>
                <w:rFonts w:ascii="Arial" w:eastAsia="標楷體" w:cs="Arial" w:hint="eastAsia"/>
                <w:sz w:val="28"/>
              </w:rPr>
              <w:t>3</w:t>
            </w:r>
            <w:r w:rsidRPr="007C42EE">
              <w:rPr>
                <w:rFonts w:ascii="Arial" w:eastAsia="標楷體" w:cs="Arial"/>
                <w:sz w:val="28"/>
              </w:rPr>
              <w:t>分）</w:t>
            </w:r>
          </w:p>
        </w:tc>
        <w:tc>
          <w:tcPr>
            <w:tcW w:w="330" w:type="pct"/>
            <w:vAlign w:val="center"/>
          </w:tcPr>
          <w:p w14:paraId="71C5B367" w14:textId="01FA674B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330" w:type="pct"/>
          </w:tcPr>
          <w:p w14:paraId="48806E3A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21191FF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0D315525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534C17E3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2704" w:type="pct"/>
            <w:vAlign w:val="center"/>
          </w:tcPr>
          <w:p w14:paraId="293D4D63" w14:textId="77777777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專任主治醫師具有衛生署及台灣</w:t>
            </w:r>
            <w:proofErr w:type="gramStart"/>
            <w:r w:rsidRPr="007C42EE">
              <w:rPr>
                <w:rFonts w:ascii="Arial" w:eastAsia="標楷體" w:cs="Arial"/>
                <w:sz w:val="28"/>
              </w:rPr>
              <w:t>胸腔暨重症</w:t>
            </w:r>
            <w:proofErr w:type="gramEnd"/>
            <w:r w:rsidRPr="007C42EE">
              <w:rPr>
                <w:rFonts w:ascii="Arial" w:eastAsia="標楷體" w:cs="Arial"/>
                <w:sz w:val="28"/>
              </w:rPr>
              <w:t>加護醫學會認可之胸腔專科醫師人數。</w:t>
            </w:r>
          </w:p>
          <w:p w14:paraId="2FCE945A" w14:textId="3B4851CC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（七人以上</w:t>
            </w:r>
            <w:r w:rsidR="008A3670">
              <w:rPr>
                <w:rFonts w:ascii="Arial" w:eastAsia="標楷體" w:cs="Arial" w:hint="eastAsia"/>
                <w:sz w:val="28"/>
              </w:rPr>
              <w:t>5</w:t>
            </w:r>
            <w:r w:rsidRPr="007C42EE">
              <w:rPr>
                <w:rFonts w:ascii="Arial" w:eastAsia="標楷體" w:cs="Arial"/>
                <w:sz w:val="28"/>
              </w:rPr>
              <w:t>分，五至七人</w:t>
            </w:r>
            <w:r w:rsidR="008A3670">
              <w:rPr>
                <w:rFonts w:ascii="Arial" w:eastAsia="標楷體" w:cs="Arial" w:hint="eastAsia"/>
                <w:sz w:val="28"/>
              </w:rPr>
              <w:t>4</w:t>
            </w:r>
            <w:r w:rsidRPr="007C42EE">
              <w:rPr>
                <w:rFonts w:ascii="Arial" w:eastAsia="標楷體" w:cs="Arial"/>
                <w:sz w:val="28"/>
              </w:rPr>
              <w:t>分，三至四人</w:t>
            </w:r>
            <w:r w:rsidR="008A3670">
              <w:rPr>
                <w:rFonts w:ascii="Arial" w:eastAsia="標楷體" w:cs="Arial" w:hint="eastAsia"/>
                <w:sz w:val="28"/>
              </w:rPr>
              <w:t>3</w:t>
            </w:r>
            <w:r w:rsidRPr="007C42EE">
              <w:rPr>
                <w:rFonts w:ascii="Arial" w:eastAsia="標楷體" w:cs="Arial"/>
                <w:sz w:val="28"/>
              </w:rPr>
              <w:t>分）</w:t>
            </w:r>
          </w:p>
        </w:tc>
        <w:tc>
          <w:tcPr>
            <w:tcW w:w="330" w:type="pct"/>
            <w:vAlign w:val="center"/>
          </w:tcPr>
          <w:p w14:paraId="231DFBD1" w14:textId="7339C772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5</w:t>
            </w:r>
          </w:p>
        </w:tc>
        <w:tc>
          <w:tcPr>
            <w:tcW w:w="330" w:type="pct"/>
          </w:tcPr>
          <w:p w14:paraId="50524077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7E7FF044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61FCAC77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389C2A68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2704" w:type="pct"/>
            <w:vAlign w:val="center"/>
          </w:tcPr>
          <w:p w14:paraId="5A13B9F0" w14:textId="77777777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專任主治醫師具有專精內視鏡檢查者。</w:t>
            </w:r>
          </w:p>
        </w:tc>
        <w:tc>
          <w:tcPr>
            <w:tcW w:w="330" w:type="pct"/>
            <w:vAlign w:val="center"/>
          </w:tcPr>
          <w:p w14:paraId="41D10414" w14:textId="4269C687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0A964F95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4377B236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1EFCA9BC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35712BD2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2704" w:type="pct"/>
            <w:vAlign w:val="center"/>
          </w:tcPr>
          <w:p w14:paraId="51AAE1EB" w14:textId="77777777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專任主治醫師具有專精呼吸功能檢查者。</w:t>
            </w:r>
          </w:p>
        </w:tc>
        <w:tc>
          <w:tcPr>
            <w:tcW w:w="330" w:type="pct"/>
            <w:vAlign w:val="center"/>
          </w:tcPr>
          <w:p w14:paraId="23A9CAEA" w14:textId="7507902C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43DA44FB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7952016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4EF5686C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5E085E8C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2704" w:type="pct"/>
            <w:vAlign w:val="center"/>
          </w:tcPr>
          <w:p w14:paraId="0220051E" w14:textId="77777777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專任主治醫師具有專精呼吸治療者。</w:t>
            </w:r>
          </w:p>
        </w:tc>
        <w:tc>
          <w:tcPr>
            <w:tcW w:w="330" w:type="pct"/>
            <w:vAlign w:val="center"/>
          </w:tcPr>
          <w:p w14:paraId="217104BA" w14:textId="3C2F536E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07CF093A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CA19C49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32AEBA81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37B3D126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2704" w:type="pct"/>
            <w:vAlign w:val="center"/>
          </w:tcPr>
          <w:p w14:paraId="086B7773" w14:textId="77777777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1E298E">
              <w:rPr>
                <w:rFonts w:ascii="Arial" w:eastAsia="標楷體" w:cs="Arial"/>
                <w:sz w:val="28"/>
              </w:rPr>
              <w:t>專任主治醫師具有</w:t>
            </w:r>
            <w:proofErr w:type="gramStart"/>
            <w:r w:rsidRPr="001E298E">
              <w:rPr>
                <w:rFonts w:ascii="Arial" w:eastAsia="標楷體" w:cs="Arial"/>
                <w:sz w:val="28"/>
              </w:rPr>
              <w:t>專精重症</w:t>
            </w:r>
            <w:proofErr w:type="gramEnd"/>
            <w:r w:rsidRPr="001E298E">
              <w:rPr>
                <w:rFonts w:ascii="Arial" w:eastAsia="標楷體" w:cs="Arial"/>
                <w:sz w:val="28"/>
              </w:rPr>
              <w:t>加護醫療者</w:t>
            </w:r>
            <w:r w:rsidRPr="007C42EE">
              <w:rPr>
                <w:rFonts w:ascii="Arial" w:eastAsia="標楷體" w:cs="Arial"/>
                <w:sz w:val="28"/>
              </w:rPr>
              <w:t>。</w:t>
            </w:r>
          </w:p>
        </w:tc>
        <w:tc>
          <w:tcPr>
            <w:tcW w:w="330" w:type="pct"/>
            <w:vAlign w:val="center"/>
          </w:tcPr>
          <w:p w14:paraId="1DD225AF" w14:textId="420902DA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21FC792D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6DC17B93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44FDB8BA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7435A354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2704" w:type="pct"/>
            <w:vAlign w:val="center"/>
          </w:tcPr>
          <w:p w14:paraId="48C7BDC2" w14:textId="77777777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專任主治醫師具有專精胸腔外科專科醫師。</w:t>
            </w:r>
          </w:p>
        </w:tc>
        <w:tc>
          <w:tcPr>
            <w:tcW w:w="330" w:type="pct"/>
            <w:vAlign w:val="center"/>
          </w:tcPr>
          <w:p w14:paraId="31C79937" w14:textId="6EF20E7E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0</w:t>
            </w:r>
          </w:p>
        </w:tc>
        <w:tc>
          <w:tcPr>
            <w:tcW w:w="330" w:type="pct"/>
          </w:tcPr>
          <w:p w14:paraId="514D8F5F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78218CA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3FC18061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54A48C03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hAnsi="Arial" w:cs="Arial"/>
                <w:sz w:val="28"/>
              </w:rPr>
            </w:pPr>
            <w:r w:rsidRPr="007C42EE"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2704" w:type="pct"/>
            <w:vAlign w:val="center"/>
          </w:tcPr>
          <w:p w14:paraId="479C4421" w14:textId="77777777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每年發表於國內外醫學雜誌之研究論文。</w:t>
            </w:r>
          </w:p>
          <w:p w14:paraId="50EE7530" w14:textId="1EF1296F" w:rsidR="0078213B" w:rsidRPr="001E298E" w:rsidRDefault="0078213B" w:rsidP="008A3670">
            <w:pPr>
              <w:spacing w:line="300" w:lineRule="exact"/>
              <w:rPr>
                <w:rFonts w:ascii="Arial" w:eastAsia="標楷體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（有國際權威醫學雜誌之研究論文一篇以上者</w:t>
            </w:r>
            <w:r w:rsidR="008A3670">
              <w:rPr>
                <w:rFonts w:ascii="Arial" w:eastAsia="標楷體" w:cs="Arial" w:hint="eastAsia"/>
                <w:sz w:val="28"/>
              </w:rPr>
              <w:t>2</w:t>
            </w:r>
            <w:r w:rsidRPr="007C42EE">
              <w:rPr>
                <w:rFonts w:ascii="Arial" w:eastAsia="標楷體" w:cs="Arial"/>
                <w:sz w:val="28"/>
              </w:rPr>
              <w:t>分，原著作論文總數十篇以上者</w:t>
            </w:r>
            <w:r w:rsidR="008A3670">
              <w:rPr>
                <w:rFonts w:ascii="Arial" w:eastAsia="標楷體" w:cs="Arial" w:hint="eastAsia"/>
                <w:sz w:val="28"/>
              </w:rPr>
              <w:t>2</w:t>
            </w:r>
            <w:r w:rsidRPr="007C42EE">
              <w:rPr>
                <w:rFonts w:ascii="Arial" w:eastAsia="標楷體" w:cs="Arial"/>
                <w:sz w:val="28"/>
              </w:rPr>
              <w:t>分，原著作論文總數五至十篇者</w:t>
            </w:r>
            <w:r w:rsidR="008A3670">
              <w:rPr>
                <w:rFonts w:ascii="Arial" w:eastAsia="標楷體" w:cs="Arial" w:hint="eastAsia"/>
                <w:sz w:val="28"/>
              </w:rPr>
              <w:t>1</w:t>
            </w:r>
            <w:r w:rsidRPr="007C42EE">
              <w:rPr>
                <w:rFonts w:ascii="Arial" w:eastAsia="標楷體" w:cs="Arial"/>
                <w:sz w:val="28"/>
              </w:rPr>
              <w:t>分）</w:t>
            </w:r>
          </w:p>
        </w:tc>
        <w:tc>
          <w:tcPr>
            <w:tcW w:w="330" w:type="pct"/>
            <w:vAlign w:val="center"/>
          </w:tcPr>
          <w:p w14:paraId="67128C0D" w14:textId="6DB29836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4D93B1DA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361ADDF3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16C35004" w14:textId="77777777" w:rsidTr="0078213B">
        <w:trPr>
          <w:cantSplit/>
          <w:trHeight w:val="520"/>
        </w:trPr>
        <w:tc>
          <w:tcPr>
            <w:tcW w:w="5000" w:type="pct"/>
            <w:gridSpan w:val="5"/>
            <w:vAlign w:val="center"/>
          </w:tcPr>
          <w:p w14:paraId="69F27D71" w14:textId="5498F53C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both"/>
              <w:rPr>
                <w:rFonts w:ascii="Arial" w:hAnsi="Arial" w:cs="Arial"/>
              </w:rPr>
            </w:pPr>
            <w:r w:rsidRPr="007C42EE">
              <w:rPr>
                <w:rFonts w:ascii="Arial" w:eastAsia="標楷體" w:cs="Arial"/>
                <w:sz w:val="28"/>
              </w:rPr>
              <w:t>二</w:t>
            </w:r>
            <w:r>
              <w:rPr>
                <w:rFonts w:ascii="Arial" w:eastAsia="標楷體" w:cs="Arial" w:hint="eastAsia"/>
                <w:sz w:val="28"/>
              </w:rPr>
              <w:t>、</w:t>
            </w:r>
            <w:r w:rsidRPr="007C42EE">
              <w:rPr>
                <w:rFonts w:ascii="Arial" w:eastAsia="標楷體" w:cs="Arial"/>
                <w:sz w:val="28"/>
              </w:rPr>
              <w:t>訓練設施：（</w:t>
            </w:r>
            <w:r w:rsidR="008A3670">
              <w:rPr>
                <w:rFonts w:ascii="Arial" w:eastAsia="標楷體" w:cs="Arial" w:hint="eastAsia"/>
                <w:sz w:val="28"/>
              </w:rPr>
              <w:t>30</w:t>
            </w:r>
            <w:r w:rsidRPr="007C42EE">
              <w:rPr>
                <w:rFonts w:ascii="Arial" w:eastAsia="標楷體" w:cs="Arial"/>
                <w:sz w:val="28"/>
              </w:rPr>
              <w:t>％）</w:t>
            </w:r>
          </w:p>
        </w:tc>
      </w:tr>
      <w:tr w:rsidR="0078213B" w:rsidRPr="007C42EE" w14:paraId="5F75E59A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5DE15582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</w:t>
            </w:r>
          </w:p>
        </w:tc>
        <w:tc>
          <w:tcPr>
            <w:tcW w:w="2704" w:type="pct"/>
            <w:vAlign w:val="center"/>
          </w:tcPr>
          <w:p w14:paraId="289A54F0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具有支氣管鏡檢查設施。</w:t>
            </w:r>
          </w:p>
        </w:tc>
        <w:tc>
          <w:tcPr>
            <w:tcW w:w="330" w:type="pct"/>
            <w:vAlign w:val="center"/>
          </w:tcPr>
          <w:p w14:paraId="43B94691" w14:textId="43485D1C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35D4F82D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4641A579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3CF0D957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48F62C32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2</w:t>
            </w:r>
          </w:p>
        </w:tc>
        <w:tc>
          <w:tcPr>
            <w:tcW w:w="2704" w:type="pct"/>
            <w:vAlign w:val="center"/>
          </w:tcPr>
          <w:p w14:paraId="270A5F8B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具有血液氣體分析檢查設施。</w:t>
            </w:r>
          </w:p>
        </w:tc>
        <w:tc>
          <w:tcPr>
            <w:tcW w:w="330" w:type="pct"/>
            <w:vAlign w:val="center"/>
          </w:tcPr>
          <w:p w14:paraId="5400281E" w14:textId="323C543A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 w:hint="eastAsia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250FF1D3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6FBCE6D8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22843FD8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7ECEB598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3</w:t>
            </w:r>
          </w:p>
        </w:tc>
        <w:tc>
          <w:tcPr>
            <w:tcW w:w="2704" w:type="pct"/>
            <w:vAlign w:val="center"/>
          </w:tcPr>
          <w:p w14:paraId="5B198400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具有細胞與病理檢驗檢查設施。</w:t>
            </w:r>
          </w:p>
        </w:tc>
        <w:tc>
          <w:tcPr>
            <w:tcW w:w="330" w:type="pct"/>
            <w:vAlign w:val="center"/>
          </w:tcPr>
          <w:p w14:paraId="7CE9D088" w14:textId="3FDA1E11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 w:hint="eastAsia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30F1FE1F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4EAEC9E5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380A595C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4691F94A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4</w:t>
            </w:r>
          </w:p>
        </w:tc>
        <w:tc>
          <w:tcPr>
            <w:tcW w:w="2704" w:type="pct"/>
            <w:vAlign w:val="center"/>
          </w:tcPr>
          <w:p w14:paraId="69157215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  <w:u w:val="single"/>
              </w:rPr>
              <w:t>具有胸腔影像學檢查設施（胸腔電腦斷層攝影、肺動脈攝影、胸腔超音波）</w:t>
            </w:r>
            <w:r w:rsidRPr="007C42EE">
              <w:rPr>
                <w:rFonts w:ascii="Arial" w:eastAsia="標楷體" w:cs="Arial"/>
                <w:sz w:val="28"/>
              </w:rPr>
              <w:t>。</w:t>
            </w:r>
          </w:p>
        </w:tc>
        <w:tc>
          <w:tcPr>
            <w:tcW w:w="330" w:type="pct"/>
            <w:vAlign w:val="center"/>
          </w:tcPr>
          <w:p w14:paraId="76C68689" w14:textId="269F823C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39244017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3EBB71D2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1960E871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0012F09F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lastRenderedPageBreak/>
              <w:t>5</w:t>
            </w:r>
          </w:p>
        </w:tc>
        <w:tc>
          <w:tcPr>
            <w:tcW w:w="2704" w:type="pct"/>
            <w:vAlign w:val="center"/>
          </w:tcPr>
          <w:p w14:paraId="71A5C133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cs="Arial"/>
                <w:sz w:val="28"/>
              </w:rPr>
              <w:t>具有微生物檢驗設施（至少需有一般細菌、結核菌、黴菌、原蟲、病毒等檢查設施）。</w:t>
            </w:r>
          </w:p>
        </w:tc>
        <w:tc>
          <w:tcPr>
            <w:tcW w:w="330" w:type="pct"/>
            <w:vAlign w:val="center"/>
          </w:tcPr>
          <w:p w14:paraId="7EF1BFA1" w14:textId="06DB07E0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1B5185F1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18C2B2C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40E78999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35C1E608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6</w:t>
            </w:r>
          </w:p>
        </w:tc>
        <w:tc>
          <w:tcPr>
            <w:tcW w:w="2704" w:type="pct"/>
            <w:vAlign w:val="center"/>
          </w:tcPr>
          <w:p w14:paraId="6AA29679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具有肺功能檢查設施（包含肺量計、流量容積圖形、完整之肺容積檢查及肺</w:t>
            </w: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瀰散量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檢查）。</w:t>
            </w:r>
          </w:p>
        </w:tc>
        <w:tc>
          <w:tcPr>
            <w:tcW w:w="330" w:type="pct"/>
            <w:vAlign w:val="center"/>
          </w:tcPr>
          <w:p w14:paraId="7A738A6D" w14:textId="19676589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3D927C12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37AE9DC6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22313ED4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0D96962A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7</w:t>
            </w:r>
          </w:p>
        </w:tc>
        <w:tc>
          <w:tcPr>
            <w:tcW w:w="2704" w:type="pct"/>
            <w:vAlign w:val="center"/>
          </w:tcPr>
          <w:p w14:paraId="650B8C18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具有肺臟同位素掃瞄檢查設施。</w:t>
            </w:r>
          </w:p>
        </w:tc>
        <w:tc>
          <w:tcPr>
            <w:tcW w:w="330" w:type="pct"/>
            <w:vAlign w:val="center"/>
          </w:tcPr>
          <w:p w14:paraId="070A4F76" w14:textId="517A24BD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31971412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BE9C4D8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0D7E2E35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564412DF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8</w:t>
            </w:r>
          </w:p>
        </w:tc>
        <w:tc>
          <w:tcPr>
            <w:tcW w:w="2704" w:type="pct"/>
            <w:vAlign w:val="center"/>
          </w:tcPr>
          <w:p w14:paraId="0C94D646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具有專業呼吸治療人員及呼吸加護病房或呼吸照護中心之設施。</w:t>
            </w:r>
          </w:p>
        </w:tc>
        <w:tc>
          <w:tcPr>
            <w:tcW w:w="330" w:type="pct"/>
            <w:vAlign w:val="center"/>
          </w:tcPr>
          <w:p w14:paraId="44ECE610" w14:textId="798B80CA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4F42DB37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52E099EE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16507BDD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3CBF6C90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9</w:t>
            </w:r>
          </w:p>
        </w:tc>
        <w:tc>
          <w:tcPr>
            <w:tcW w:w="2704" w:type="pct"/>
            <w:vAlign w:val="center"/>
          </w:tcPr>
          <w:p w14:paraId="16B4AAD4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具有施行胸腔外科手術之各種診療設施。</w:t>
            </w:r>
          </w:p>
        </w:tc>
        <w:tc>
          <w:tcPr>
            <w:tcW w:w="330" w:type="pct"/>
            <w:vAlign w:val="center"/>
          </w:tcPr>
          <w:p w14:paraId="2C0A4AAD" w14:textId="2288FA6A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21DFA983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1C76D830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617F84A6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28AC7945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10</w:t>
            </w:r>
          </w:p>
        </w:tc>
        <w:tc>
          <w:tcPr>
            <w:tcW w:w="2704" w:type="pct"/>
            <w:vAlign w:val="center"/>
          </w:tcPr>
          <w:p w14:paraId="7BB51771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具有睡眠多項生理檢查設施。</w:t>
            </w:r>
          </w:p>
        </w:tc>
        <w:tc>
          <w:tcPr>
            <w:tcW w:w="330" w:type="pct"/>
            <w:vAlign w:val="center"/>
          </w:tcPr>
          <w:p w14:paraId="6D513FE9" w14:textId="1FF1FF93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610DC335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6806A1F1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42FA27EF" w14:textId="77777777" w:rsidTr="0078213B">
        <w:trPr>
          <w:cantSplit/>
          <w:trHeight w:val="520"/>
        </w:trPr>
        <w:tc>
          <w:tcPr>
            <w:tcW w:w="5000" w:type="pct"/>
            <w:gridSpan w:val="5"/>
            <w:vAlign w:val="center"/>
          </w:tcPr>
          <w:p w14:paraId="7507B00F" w14:textId="05FB92D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both"/>
              <w:rPr>
                <w:rFonts w:ascii="Arial" w:hAnsi="Arial" w:cs="Arial"/>
              </w:rPr>
            </w:pPr>
            <w:r w:rsidRPr="007C42EE">
              <w:rPr>
                <w:rFonts w:ascii="Arial" w:eastAsia="標楷體" w:cs="Arial"/>
                <w:sz w:val="28"/>
              </w:rPr>
              <w:t>三</w:t>
            </w:r>
            <w:r>
              <w:rPr>
                <w:rFonts w:ascii="Arial" w:eastAsia="標楷體" w:cs="Arial" w:hint="eastAsia"/>
                <w:sz w:val="28"/>
              </w:rPr>
              <w:t>、</w:t>
            </w:r>
            <w:r w:rsidRPr="007C42EE">
              <w:rPr>
                <w:rFonts w:ascii="Arial" w:eastAsia="標楷體" w:hAnsi="Arial" w:cs="Arial"/>
                <w:sz w:val="28"/>
              </w:rPr>
              <w:t>教學訓練內容：（</w:t>
            </w:r>
            <w:r w:rsidR="008A3670">
              <w:rPr>
                <w:rFonts w:ascii="Arial" w:eastAsia="標楷體" w:hAnsi="Arial" w:cs="Arial" w:hint="eastAsia"/>
                <w:sz w:val="28"/>
              </w:rPr>
              <w:t>40</w:t>
            </w:r>
            <w:r w:rsidRPr="007C42EE">
              <w:rPr>
                <w:rFonts w:ascii="Arial" w:eastAsia="標楷體" w:hAnsi="Arial" w:cs="Arial"/>
                <w:sz w:val="28"/>
              </w:rPr>
              <w:t>％）</w:t>
            </w:r>
          </w:p>
        </w:tc>
      </w:tr>
      <w:tr w:rsidR="0078213B" w:rsidRPr="007C42EE" w14:paraId="4D630FA5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11DAD8AA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</w:t>
            </w:r>
          </w:p>
        </w:tc>
        <w:tc>
          <w:tcPr>
            <w:tcW w:w="2704" w:type="pct"/>
            <w:vAlign w:val="center"/>
          </w:tcPr>
          <w:p w14:paraId="13B6A742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具有教學訓練手冊，且按照手冊施行教學訓練。</w:t>
            </w:r>
          </w:p>
        </w:tc>
        <w:tc>
          <w:tcPr>
            <w:tcW w:w="330" w:type="pct"/>
            <w:vAlign w:val="center"/>
          </w:tcPr>
          <w:p w14:paraId="613B5CFA" w14:textId="366439B5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3D6AC008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4355CB3F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7375275A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6C5C0C06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2</w:t>
            </w:r>
          </w:p>
        </w:tc>
        <w:tc>
          <w:tcPr>
            <w:tcW w:w="2704" w:type="pct"/>
            <w:vAlign w:val="center"/>
          </w:tcPr>
          <w:p w14:paraId="22462F47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各階段之教學訓練皆有專任之導師指導，且有固定之評量評估訓練成果。</w:t>
            </w:r>
          </w:p>
        </w:tc>
        <w:tc>
          <w:tcPr>
            <w:tcW w:w="330" w:type="pct"/>
            <w:vAlign w:val="center"/>
          </w:tcPr>
          <w:p w14:paraId="79907C40" w14:textId="31FB6AAF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36FB8BB3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6B2B33F5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395AE9C6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70739084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3</w:t>
            </w:r>
          </w:p>
        </w:tc>
        <w:tc>
          <w:tcPr>
            <w:tcW w:w="2704" w:type="pct"/>
            <w:vAlign w:val="center"/>
          </w:tcPr>
          <w:p w14:paraId="1C7C1CA7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有固定之教學活動課程，每週至少三次，包含專題討論會、醫學期刊討論會、聯合胸腔討論會（胸腔內科、胸腔外科、放射線科、放射線治療科、病理科）、病例討論會、臨床病理討論會。</w:t>
            </w:r>
          </w:p>
        </w:tc>
        <w:tc>
          <w:tcPr>
            <w:tcW w:w="330" w:type="pct"/>
            <w:vAlign w:val="center"/>
          </w:tcPr>
          <w:p w14:paraId="60640084" w14:textId="0227557A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7774BD96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549A2A70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187CE472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6FC717A9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4</w:t>
            </w:r>
          </w:p>
        </w:tc>
        <w:tc>
          <w:tcPr>
            <w:tcW w:w="2704" w:type="pct"/>
            <w:vAlign w:val="center"/>
          </w:tcPr>
          <w:p w14:paraId="43E39A37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胸腔疾病之病房工作訓練，質與量是否合乎教學訓練之需求？病床數與住院醫師人數是否為一級教學醫院之十與</w:t>
            </w: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一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之比？住院病患之人數與疾病之類別是否能提供足夠之訓練機會？</w:t>
            </w:r>
          </w:p>
        </w:tc>
        <w:tc>
          <w:tcPr>
            <w:tcW w:w="330" w:type="pct"/>
            <w:vAlign w:val="center"/>
          </w:tcPr>
          <w:p w14:paraId="0DA01882" w14:textId="5FBBA632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51D8F59D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B535F55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492CC749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0A54B578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5</w:t>
            </w:r>
          </w:p>
        </w:tc>
        <w:tc>
          <w:tcPr>
            <w:tcW w:w="2704" w:type="pct"/>
            <w:vAlign w:val="center"/>
          </w:tcPr>
          <w:p w14:paraId="6EC27E14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門診工作負荷是否適當？病人數量與疾病類別是否能提供足夠之訓練機會？</w:t>
            </w:r>
          </w:p>
        </w:tc>
        <w:tc>
          <w:tcPr>
            <w:tcW w:w="330" w:type="pct"/>
            <w:vAlign w:val="center"/>
          </w:tcPr>
          <w:p w14:paraId="366BBC07" w14:textId="4DD800F2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5E192EA2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71EF1BE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7E562208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55E61D60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6</w:t>
            </w:r>
          </w:p>
        </w:tc>
        <w:tc>
          <w:tcPr>
            <w:tcW w:w="2704" w:type="pct"/>
            <w:vAlign w:val="center"/>
          </w:tcPr>
          <w:p w14:paraId="7801CE41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有無足夠之胸腔病例</w:t>
            </w: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Ｘ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光片教學檔，可供受訓者學習各類胸腔疾病之</w:t>
            </w: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Ｘ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光片變化？</w:t>
            </w:r>
          </w:p>
        </w:tc>
        <w:tc>
          <w:tcPr>
            <w:tcW w:w="330" w:type="pct"/>
            <w:vAlign w:val="center"/>
          </w:tcPr>
          <w:p w14:paraId="78528068" w14:textId="45F5408F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10150C19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127DC75E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40403EE3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496498A6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7</w:t>
            </w:r>
          </w:p>
        </w:tc>
        <w:tc>
          <w:tcPr>
            <w:tcW w:w="2704" w:type="pct"/>
            <w:vAlign w:val="center"/>
          </w:tcPr>
          <w:p w14:paraId="3340E901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會診工作之數量是否足夠？</w:t>
            </w:r>
          </w:p>
        </w:tc>
        <w:tc>
          <w:tcPr>
            <w:tcW w:w="330" w:type="pct"/>
            <w:vAlign w:val="center"/>
          </w:tcPr>
          <w:p w14:paraId="5C3796E4" w14:textId="64ED439D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5BA48643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51BFA596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15EBA078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7BB96AAB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8</w:t>
            </w:r>
          </w:p>
        </w:tc>
        <w:tc>
          <w:tcPr>
            <w:tcW w:w="2704" w:type="pct"/>
            <w:vAlign w:val="center"/>
          </w:tcPr>
          <w:p w14:paraId="133E2B05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處理胸腔急症之訓練，質量是否足夠？</w:t>
            </w:r>
          </w:p>
        </w:tc>
        <w:tc>
          <w:tcPr>
            <w:tcW w:w="330" w:type="pct"/>
            <w:vAlign w:val="center"/>
          </w:tcPr>
          <w:p w14:paraId="53050CE5" w14:textId="62473F39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03CCA23C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5C7880A2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591C4911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0B77D85D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9</w:t>
            </w:r>
          </w:p>
        </w:tc>
        <w:tc>
          <w:tcPr>
            <w:tcW w:w="2704" w:type="pct"/>
            <w:vAlign w:val="center"/>
          </w:tcPr>
          <w:p w14:paraId="0FB4272E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呼吸治療之臨床工作訓練質量是否拿教學訓練之需求？</w:t>
            </w:r>
          </w:p>
        </w:tc>
        <w:tc>
          <w:tcPr>
            <w:tcW w:w="330" w:type="pct"/>
            <w:vAlign w:val="center"/>
          </w:tcPr>
          <w:p w14:paraId="0D4FB674" w14:textId="5AD417C7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46173018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29CEC27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23F1A094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2D2BF429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lastRenderedPageBreak/>
              <w:t>10</w:t>
            </w:r>
          </w:p>
        </w:tc>
        <w:tc>
          <w:tcPr>
            <w:tcW w:w="2704" w:type="pct"/>
            <w:vAlign w:val="center"/>
          </w:tcPr>
          <w:p w14:paraId="0A42915B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加護病房之工作訓練，質與量是否拿教學訓練之需求？</w:t>
            </w:r>
          </w:p>
        </w:tc>
        <w:tc>
          <w:tcPr>
            <w:tcW w:w="330" w:type="pct"/>
            <w:vAlign w:val="center"/>
          </w:tcPr>
          <w:p w14:paraId="36CEF5F9" w14:textId="035821E9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3CBF27DA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C689A3C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28F0DAEB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07AA0AC3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11</w:t>
            </w:r>
          </w:p>
        </w:tc>
        <w:tc>
          <w:tcPr>
            <w:tcW w:w="2704" w:type="pct"/>
            <w:vAlign w:val="center"/>
          </w:tcPr>
          <w:p w14:paraId="216B88C6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支氣管鏡檢查之操作次數。</w:t>
            </w:r>
          </w:p>
          <w:p w14:paraId="356AD4AB" w14:textId="07E41591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（每月五十次以上</w:t>
            </w:r>
            <w:r w:rsidR="008A3670">
              <w:rPr>
                <w:rFonts w:ascii="Arial" w:eastAsia="標楷體" w:hAnsi="Arial" w:cs="Arial" w:hint="eastAsia"/>
                <w:sz w:val="28"/>
              </w:rPr>
              <w:t>4</w:t>
            </w:r>
            <w:r w:rsidRPr="007C42EE">
              <w:rPr>
                <w:rFonts w:ascii="Arial" w:eastAsia="標楷體" w:hAnsi="Arial" w:cs="Arial"/>
                <w:sz w:val="28"/>
              </w:rPr>
              <w:t>分，三十至五十次</w:t>
            </w:r>
            <w:r w:rsidR="008A3670">
              <w:rPr>
                <w:rFonts w:ascii="Arial" w:eastAsia="標楷體" w:hAnsi="Arial" w:cs="Arial" w:hint="eastAsia"/>
                <w:sz w:val="28"/>
              </w:rPr>
              <w:t>3</w:t>
            </w:r>
            <w:r w:rsidRPr="007C42EE">
              <w:rPr>
                <w:rFonts w:ascii="Arial" w:eastAsia="標楷體" w:hAnsi="Arial" w:cs="Arial"/>
                <w:sz w:val="28"/>
              </w:rPr>
              <w:t>分，十至三十次</w:t>
            </w:r>
            <w:r w:rsidR="008A3670">
              <w:rPr>
                <w:rFonts w:ascii="Arial" w:eastAsia="標楷體" w:hAnsi="Arial" w:cs="Arial" w:hint="eastAsia"/>
                <w:sz w:val="28"/>
              </w:rPr>
              <w:t>2</w:t>
            </w:r>
            <w:r w:rsidRPr="007C42EE">
              <w:rPr>
                <w:rFonts w:ascii="Arial" w:eastAsia="標楷體" w:hAnsi="Arial" w:cs="Arial"/>
                <w:sz w:val="28"/>
              </w:rPr>
              <w:t>分，十次以下</w:t>
            </w:r>
            <w:r w:rsidR="008A3670">
              <w:rPr>
                <w:rFonts w:ascii="Arial" w:eastAsia="標楷體" w:hAnsi="Arial" w:cs="Arial" w:hint="eastAsia"/>
                <w:sz w:val="28"/>
              </w:rPr>
              <w:t>1</w:t>
            </w:r>
            <w:r w:rsidRPr="007C42EE">
              <w:rPr>
                <w:rFonts w:ascii="Arial" w:eastAsia="標楷體" w:hAnsi="Arial" w:cs="Arial"/>
                <w:sz w:val="28"/>
              </w:rPr>
              <w:t>分）</w:t>
            </w:r>
          </w:p>
        </w:tc>
        <w:tc>
          <w:tcPr>
            <w:tcW w:w="330" w:type="pct"/>
            <w:vAlign w:val="center"/>
          </w:tcPr>
          <w:p w14:paraId="5E6D7B90" w14:textId="4A0135A2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4</w:t>
            </w:r>
          </w:p>
        </w:tc>
        <w:tc>
          <w:tcPr>
            <w:tcW w:w="330" w:type="pct"/>
          </w:tcPr>
          <w:p w14:paraId="292A1C2E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4F87D485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43C1568A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3B0B32BA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12</w:t>
            </w:r>
          </w:p>
        </w:tc>
        <w:tc>
          <w:tcPr>
            <w:tcW w:w="2704" w:type="pct"/>
            <w:vAlign w:val="center"/>
          </w:tcPr>
          <w:p w14:paraId="37A5DCBE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經支氣管</w:t>
            </w: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鏡肺活體生檢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及肺泡</w:t>
            </w: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灌洗術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。</w:t>
            </w:r>
          </w:p>
          <w:p w14:paraId="71123053" w14:textId="47671FCE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（每月十次以上</w:t>
            </w:r>
            <w:r w:rsidR="008A3670">
              <w:rPr>
                <w:rFonts w:ascii="Arial" w:eastAsia="標楷體" w:hAnsi="Arial" w:cs="Arial" w:hint="eastAsia"/>
                <w:sz w:val="28"/>
              </w:rPr>
              <w:t>2</w:t>
            </w:r>
            <w:r w:rsidRPr="007C42EE">
              <w:rPr>
                <w:rFonts w:ascii="Arial" w:eastAsia="標楷體" w:hAnsi="Arial" w:cs="Arial"/>
                <w:sz w:val="28"/>
              </w:rPr>
              <w:t>分，四至十次</w:t>
            </w:r>
            <w:r w:rsidR="008A3670">
              <w:rPr>
                <w:rFonts w:ascii="Arial" w:eastAsia="標楷體" w:hAnsi="Arial" w:cs="Arial" w:hint="eastAsia"/>
                <w:sz w:val="28"/>
              </w:rPr>
              <w:t>1</w:t>
            </w:r>
            <w:r w:rsidRPr="007C42EE">
              <w:rPr>
                <w:rFonts w:ascii="Arial" w:eastAsia="標楷體" w:hAnsi="Arial" w:cs="Arial"/>
                <w:sz w:val="28"/>
              </w:rPr>
              <w:t>分）</w:t>
            </w:r>
          </w:p>
        </w:tc>
        <w:tc>
          <w:tcPr>
            <w:tcW w:w="330" w:type="pct"/>
            <w:vAlign w:val="center"/>
          </w:tcPr>
          <w:p w14:paraId="61D4CF0B" w14:textId="59A1DFB9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3C17D29B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78F75694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707FAA32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6B21BFD3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13</w:t>
            </w:r>
          </w:p>
        </w:tc>
        <w:tc>
          <w:tcPr>
            <w:tcW w:w="2704" w:type="pct"/>
            <w:vAlign w:val="center"/>
          </w:tcPr>
          <w:p w14:paraId="08C8FDBD" w14:textId="2536884E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肋膜活體切片（每人有十例以上經驗者</w:t>
            </w:r>
            <w:r w:rsidR="008A3670">
              <w:rPr>
                <w:rFonts w:ascii="Arial" w:eastAsia="標楷體" w:hAnsi="Arial" w:cs="Arial" w:hint="eastAsia"/>
                <w:sz w:val="28"/>
              </w:rPr>
              <w:t>2</w:t>
            </w:r>
            <w:r w:rsidRPr="007C42EE">
              <w:rPr>
                <w:rFonts w:ascii="Arial" w:eastAsia="標楷體" w:hAnsi="Arial" w:cs="Arial"/>
                <w:sz w:val="28"/>
              </w:rPr>
              <w:t>分，一至九例經驗者</w:t>
            </w:r>
            <w:r w:rsidR="008A3670">
              <w:rPr>
                <w:rFonts w:ascii="Arial" w:eastAsia="標楷體" w:hAnsi="Arial" w:cs="Arial" w:hint="eastAsia"/>
                <w:sz w:val="28"/>
              </w:rPr>
              <w:t>1</w:t>
            </w:r>
            <w:r w:rsidRPr="007C42EE">
              <w:rPr>
                <w:rFonts w:ascii="Arial" w:eastAsia="標楷體" w:hAnsi="Arial" w:cs="Arial"/>
                <w:sz w:val="28"/>
              </w:rPr>
              <w:t>分）。</w:t>
            </w:r>
          </w:p>
        </w:tc>
        <w:tc>
          <w:tcPr>
            <w:tcW w:w="330" w:type="pct"/>
            <w:vAlign w:val="center"/>
          </w:tcPr>
          <w:p w14:paraId="21BAE758" w14:textId="05BC36EB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1A49F0D7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1A921BA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08CAB6A4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6CB120E5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14</w:t>
            </w:r>
          </w:p>
        </w:tc>
        <w:tc>
          <w:tcPr>
            <w:tcW w:w="2704" w:type="pct"/>
            <w:vAlign w:val="center"/>
          </w:tcPr>
          <w:p w14:paraId="6247DE36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血液氣體分析之詮釋能力。</w:t>
            </w:r>
          </w:p>
        </w:tc>
        <w:tc>
          <w:tcPr>
            <w:tcW w:w="330" w:type="pct"/>
            <w:vAlign w:val="center"/>
          </w:tcPr>
          <w:p w14:paraId="7A24A28B" w14:textId="717A4403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6A7CA209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4A6110B4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78D78D42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63CD5E9C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15</w:t>
            </w:r>
          </w:p>
        </w:tc>
        <w:tc>
          <w:tcPr>
            <w:tcW w:w="2704" w:type="pct"/>
            <w:vAlign w:val="center"/>
          </w:tcPr>
          <w:p w14:paraId="58B366E1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肺量計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、流量容積圖形「完整之肺容積檢查及肺</w:t>
            </w: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瀰散量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檢查之操作與詮釋」。</w:t>
            </w:r>
          </w:p>
          <w:p w14:paraId="757EA844" w14:textId="5EC727D0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（二十次以上</w:t>
            </w:r>
            <w:r w:rsidR="008A3670">
              <w:rPr>
                <w:rFonts w:ascii="Arial" w:eastAsia="標楷體" w:hAnsi="Arial" w:cs="Arial" w:hint="eastAsia"/>
                <w:sz w:val="28"/>
              </w:rPr>
              <w:t>2</w:t>
            </w:r>
            <w:r w:rsidRPr="007C42EE">
              <w:rPr>
                <w:rFonts w:ascii="Arial" w:eastAsia="標楷體" w:hAnsi="Arial" w:cs="Arial"/>
                <w:sz w:val="28"/>
              </w:rPr>
              <w:t>分，十至二十次１</w:t>
            </w:r>
            <w:proofErr w:type="gramStart"/>
            <w:r w:rsidR="008A3670">
              <w:rPr>
                <w:rFonts w:ascii="Arial" w:eastAsia="標楷體" w:hAnsi="Arial" w:cs="Arial" w:hint="eastAsia"/>
                <w:sz w:val="28"/>
              </w:rPr>
              <w:t>1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分）</w:t>
            </w:r>
          </w:p>
        </w:tc>
        <w:tc>
          <w:tcPr>
            <w:tcW w:w="330" w:type="pct"/>
            <w:vAlign w:val="center"/>
          </w:tcPr>
          <w:p w14:paraId="170A3370" w14:textId="5397CD40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7D64178A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3E810C2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5B941278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00531252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16</w:t>
            </w:r>
          </w:p>
        </w:tc>
        <w:tc>
          <w:tcPr>
            <w:tcW w:w="2704" w:type="pct"/>
            <w:vAlign w:val="center"/>
          </w:tcPr>
          <w:p w14:paraId="0DF2724A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熟悉支氣管擴張劑之使用方法，及慢性阻塞性肺疾、支氣管性氣喘、支氣管擴張症之診療原則。</w:t>
            </w:r>
          </w:p>
        </w:tc>
        <w:tc>
          <w:tcPr>
            <w:tcW w:w="330" w:type="pct"/>
            <w:vAlign w:val="center"/>
          </w:tcPr>
          <w:p w14:paraId="29173197" w14:textId="6CEEE86E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79D6323E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29527660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4526DA34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5A957E60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17</w:t>
            </w:r>
          </w:p>
        </w:tc>
        <w:tc>
          <w:tcPr>
            <w:tcW w:w="2704" w:type="pct"/>
            <w:vAlign w:val="center"/>
          </w:tcPr>
          <w:p w14:paraId="341E2196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熟悉胸腔腫瘤之診療方法。</w:t>
            </w:r>
          </w:p>
        </w:tc>
        <w:tc>
          <w:tcPr>
            <w:tcW w:w="330" w:type="pct"/>
            <w:vAlign w:val="center"/>
          </w:tcPr>
          <w:p w14:paraId="02FB42E0" w14:textId="7155CC18" w:rsidR="0078213B" w:rsidRPr="007C42EE" w:rsidRDefault="008A3670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7C413482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6C8854B7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21C76E50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7E8DE21E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18</w:t>
            </w:r>
          </w:p>
        </w:tc>
        <w:tc>
          <w:tcPr>
            <w:tcW w:w="2704" w:type="pct"/>
            <w:vAlign w:val="center"/>
          </w:tcPr>
          <w:p w14:paraId="242881F3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熟悉肺結核病之診療工作，充分瞭解我國當前防</w:t>
            </w:r>
            <w:proofErr w:type="gramStart"/>
            <w:r w:rsidRPr="007C42EE">
              <w:rPr>
                <w:rFonts w:ascii="Arial" w:eastAsia="標楷體" w:hAnsi="Arial" w:cs="Arial"/>
                <w:sz w:val="28"/>
              </w:rPr>
              <w:t>癆</w:t>
            </w:r>
            <w:proofErr w:type="gramEnd"/>
            <w:r w:rsidRPr="007C42EE">
              <w:rPr>
                <w:rFonts w:ascii="Arial" w:eastAsia="標楷體" w:hAnsi="Arial" w:cs="Arial"/>
                <w:sz w:val="28"/>
              </w:rPr>
              <w:t>政策，且能配合實施。</w:t>
            </w:r>
          </w:p>
        </w:tc>
        <w:tc>
          <w:tcPr>
            <w:tcW w:w="330" w:type="pct"/>
            <w:vAlign w:val="center"/>
          </w:tcPr>
          <w:p w14:paraId="410E143B" w14:textId="28547158" w:rsidR="0078213B" w:rsidRPr="007C42EE" w:rsidRDefault="00107A1E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542AE3D0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0C728E3D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23ACD8CC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7ADFB6B8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19</w:t>
            </w:r>
          </w:p>
        </w:tc>
        <w:tc>
          <w:tcPr>
            <w:tcW w:w="2704" w:type="pct"/>
            <w:vAlign w:val="center"/>
          </w:tcPr>
          <w:p w14:paraId="7371B1DE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研究工作之參與。</w:t>
            </w:r>
          </w:p>
        </w:tc>
        <w:tc>
          <w:tcPr>
            <w:tcW w:w="330" w:type="pct"/>
            <w:vAlign w:val="center"/>
          </w:tcPr>
          <w:p w14:paraId="6BC189C2" w14:textId="3608EE63" w:rsidR="0078213B" w:rsidRPr="007C42EE" w:rsidRDefault="00107A1E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</w:p>
        </w:tc>
        <w:tc>
          <w:tcPr>
            <w:tcW w:w="330" w:type="pct"/>
          </w:tcPr>
          <w:p w14:paraId="7ACEB7E8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677236CA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29E10BA7" w14:textId="77777777" w:rsidTr="00107A1E">
        <w:trPr>
          <w:cantSplit/>
          <w:trHeight w:val="520"/>
        </w:trPr>
        <w:tc>
          <w:tcPr>
            <w:tcW w:w="5000" w:type="pct"/>
            <w:gridSpan w:val="5"/>
            <w:vAlign w:val="center"/>
          </w:tcPr>
          <w:p w14:paraId="67FB2C58" w14:textId="2C003701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both"/>
              <w:rPr>
                <w:rFonts w:ascii="Arial" w:hAnsi="Arial" w:cs="Arial"/>
              </w:rPr>
            </w:pPr>
            <w:r w:rsidRPr="007C42EE">
              <w:rPr>
                <w:rFonts w:ascii="Arial" w:eastAsia="標楷體" w:cs="Arial"/>
                <w:sz w:val="28"/>
              </w:rPr>
              <w:t>四</w:t>
            </w:r>
            <w:r>
              <w:rPr>
                <w:rFonts w:ascii="Arial" w:eastAsia="標楷體" w:cs="Arial" w:hint="eastAsia"/>
                <w:sz w:val="28"/>
              </w:rPr>
              <w:t>、</w:t>
            </w:r>
            <w:r w:rsidRPr="007C42EE">
              <w:rPr>
                <w:rFonts w:ascii="Arial" w:eastAsia="標楷體" w:hAnsi="Arial" w:cs="Arial"/>
                <w:sz w:val="28"/>
              </w:rPr>
              <w:t>受訓者之滿意程度：（</w:t>
            </w:r>
            <w:r w:rsidR="00107A1E">
              <w:rPr>
                <w:rFonts w:ascii="Arial" w:eastAsia="標楷體" w:hAnsi="Arial" w:cs="Arial" w:hint="eastAsia"/>
                <w:sz w:val="28"/>
              </w:rPr>
              <w:t>10</w:t>
            </w:r>
            <w:r w:rsidRPr="007C42EE">
              <w:rPr>
                <w:rFonts w:ascii="Arial" w:eastAsia="標楷體" w:hAnsi="Arial" w:cs="Arial"/>
                <w:sz w:val="28"/>
              </w:rPr>
              <w:t>％）</w:t>
            </w:r>
          </w:p>
        </w:tc>
      </w:tr>
      <w:tr w:rsidR="0078213B" w:rsidRPr="007C42EE" w14:paraId="10653562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3988DDC9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1</w:t>
            </w:r>
          </w:p>
        </w:tc>
        <w:tc>
          <w:tcPr>
            <w:tcW w:w="2704" w:type="pct"/>
            <w:vAlign w:val="center"/>
          </w:tcPr>
          <w:p w14:paraId="52B132DF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師資</w:t>
            </w:r>
          </w:p>
        </w:tc>
        <w:tc>
          <w:tcPr>
            <w:tcW w:w="330" w:type="pct"/>
            <w:vAlign w:val="center"/>
          </w:tcPr>
          <w:p w14:paraId="72F98075" w14:textId="2BD7943D" w:rsidR="0078213B" w:rsidRPr="007C42EE" w:rsidRDefault="00107A1E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68C1F479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73CCBC6A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126D45C5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15BDA248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2</w:t>
            </w:r>
          </w:p>
        </w:tc>
        <w:tc>
          <w:tcPr>
            <w:tcW w:w="2704" w:type="pct"/>
            <w:vAlign w:val="center"/>
          </w:tcPr>
          <w:p w14:paraId="2707680B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設備</w:t>
            </w:r>
          </w:p>
        </w:tc>
        <w:tc>
          <w:tcPr>
            <w:tcW w:w="330" w:type="pct"/>
            <w:vAlign w:val="center"/>
          </w:tcPr>
          <w:p w14:paraId="622F3733" w14:textId="7A7260FA" w:rsidR="0078213B" w:rsidRPr="007C42EE" w:rsidRDefault="00107A1E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3</w:t>
            </w:r>
          </w:p>
        </w:tc>
        <w:tc>
          <w:tcPr>
            <w:tcW w:w="330" w:type="pct"/>
          </w:tcPr>
          <w:p w14:paraId="48658B20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7A971E2B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  <w:tr w:rsidR="0078213B" w:rsidRPr="007C42EE" w14:paraId="46BEAC71" w14:textId="77777777" w:rsidTr="008A3670">
        <w:trPr>
          <w:cantSplit/>
          <w:trHeight w:val="520"/>
        </w:trPr>
        <w:tc>
          <w:tcPr>
            <w:tcW w:w="234" w:type="pct"/>
            <w:vAlign w:val="center"/>
          </w:tcPr>
          <w:p w14:paraId="051A4AA5" w14:textId="77777777" w:rsidR="0078213B" w:rsidRPr="007C42EE" w:rsidRDefault="0078213B" w:rsidP="008A3670">
            <w:pPr>
              <w:snapToGrid w:val="0"/>
              <w:spacing w:line="300" w:lineRule="exact"/>
              <w:ind w:left="113" w:right="113"/>
              <w:jc w:val="center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3</w:t>
            </w:r>
          </w:p>
        </w:tc>
        <w:tc>
          <w:tcPr>
            <w:tcW w:w="2704" w:type="pct"/>
            <w:vAlign w:val="center"/>
          </w:tcPr>
          <w:p w14:paraId="5CAE58A2" w14:textId="77777777" w:rsidR="0078213B" w:rsidRPr="007C42EE" w:rsidRDefault="0078213B" w:rsidP="008A3670">
            <w:pPr>
              <w:spacing w:line="300" w:lineRule="exact"/>
              <w:rPr>
                <w:rFonts w:ascii="Arial" w:eastAsia="標楷體" w:hAnsi="Arial" w:cs="Arial"/>
                <w:sz w:val="28"/>
              </w:rPr>
            </w:pPr>
            <w:r w:rsidRPr="007C42EE">
              <w:rPr>
                <w:rFonts w:ascii="Arial" w:eastAsia="標楷體" w:hAnsi="Arial" w:cs="Arial"/>
                <w:sz w:val="28"/>
              </w:rPr>
              <w:t>訓練內容與課程安排</w:t>
            </w:r>
          </w:p>
        </w:tc>
        <w:tc>
          <w:tcPr>
            <w:tcW w:w="330" w:type="pct"/>
            <w:vAlign w:val="center"/>
          </w:tcPr>
          <w:p w14:paraId="278B1DA3" w14:textId="1E35C7A7" w:rsidR="0078213B" w:rsidRPr="007C42EE" w:rsidRDefault="00107A1E" w:rsidP="008A3670">
            <w:pPr>
              <w:framePr w:hSpace="180" w:wrap="around" w:vAnchor="page" w:hAnchor="text" w:x="470" w:y="689"/>
              <w:spacing w:line="300" w:lineRule="exact"/>
              <w:jc w:val="center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4</w:t>
            </w:r>
          </w:p>
        </w:tc>
        <w:tc>
          <w:tcPr>
            <w:tcW w:w="330" w:type="pct"/>
          </w:tcPr>
          <w:p w14:paraId="1EFCC771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  <w:tc>
          <w:tcPr>
            <w:tcW w:w="1402" w:type="pct"/>
          </w:tcPr>
          <w:p w14:paraId="627BE9A1" w14:textId="77777777" w:rsidR="0078213B" w:rsidRPr="007C42EE" w:rsidRDefault="0078213B" w:rsidP="008A3670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713C0686" w14:textId="77777777" w:rsidR="004921CA" w:rsidRDefault="004921CA"/>
    <w:sectPr w:rsidR="004921CA" w:rsidSect="0078213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3B"/>
    <w:rsid w:val="00107A1E"/>
    <w:rsid w:val="001E298E"/>
    <w:rsid w:val="004921CA"/>
    <w:rsid w:val="0078213B"/>
    <w:rsid w:val="008A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B411"/>
  <w15:chartTrackingRefBased/>
  <w15:docId w15:val="{813DD59B-5987-4A0C-AF50-E99705A8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13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213B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Courier" w:hAnsi="Courier"/>
      <w:kern w:val="0"/>
      <w:sz w:val="20"/>
    </w:rPr>
  </w:style>
  <w:style w:type="character" w:customStyle="1" w:styleId="a4">
    <w:name w:val="頁尾 字元"/>
    <w:basedOn w:val="a0"/>
    <w:link w:val="a3"/>
    <w:uiPriority w:val="99"/>
    <w:rsid w:val="0078213B"/>
    <w:rPr>
      <w:rFonts w:ascii="Courier" w:eastAsia="新細明體" w:hAnsi="Courier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4</cp:revision>
  <dcterms:created xsi:type="dcterms:W3CDTF">2022-02-09T09:27:00Z</dcterms:created>
  <dcterms:modified xsi:type="dcterms:W3CDTF">2022-02-09T09:45:00Z</dcterms:modified>
</cp:coreProperties>
</file>