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8428D5" w14:textId="4D673650" w:rsidR="00A16D89" w:rsidRDefault="008345CE">
      <w:r>
        <w:rPr>
          <w:rFonts w:hint="eastAsia"/>
        </w:rPr>
        <w:t>演講摘要</w:t>
      </w:r>
    </w:p>
    <w:p w14:paraId="6761C242" w14:textId="77777777" w:rsidR="008345CE" w:rsidRDefault="008345CE"/>
    <w:p w14:paraId="55EBC6C2" w14:textId="77777777" w:rsidR="00D22C82" w:rsidRDefault="00D22C82">
      <w:pPr>
        <w:pStyle w:val="p1"/>
        <w:divId w:val="1350910573"/>
      </w:pPr>
      <w:r>
        <w:rPr>
          <w:rStyle w:val="s1"/>
        </w:rPr>
        <w:t>EGFR突變與EGFR酪胺酸激酶抑制劑（TKIs）治療反應之間的關聯性發現，徹底改變了非小細胞肺癌（NSCLC）的治療策略。現今，第三代EGFR TKI因具備高度中樞神經穿透力，已成為進展期EGFR突變型NSCLC患者的一線標準治療。為延緩抗藥性發生並提升治療效果，臨床上正積極探索將第三代EGFR TKI與抗血管新生藥物、化學治療、EGFR-MET雙特異性抗體（如amivantamab）或局部腫瘤消融治療進行合併的可能性。</w:t>
      </w:r>
    </w:p>
    <w:p w14:paraId="5134E960" w14:textId="77777777" w:rsidR="00D22C82" w:rsidRDefault="00D22C82">
      <w:pPr>
        <w:pStyle w:val="p2"/>
        <w:divId w:val="1350910573"/>
      </w:pPr>
    </w:p>
    <w:p w14:paraId="75E9ED1A" w14:textId="77777777" w:rsidR="00D22C82" w:rsidRDefault="00D22C82">
      <w:pPr>
        <w:pStyle w:val="p1"/>
        <w:divId w:val="1350910573"/>
      </w:pPr>
      <w:r>
        <w:rPr>
          <w:rStyle w:val="s1"/>
        </w:rPr>
        <w:t>此外，EGFR TKI也逐步應用於早期或局部晚期EGFR突變型NSCLC患者，期待藉此朝向根治疾病的目標邁進。然而，獲得性抗藥性仍為臨床治療的一大挑戰。對於EGFR TKI治療後病情惡化的患者，新一代TKI、抗體藥物複合體（ADC）、創新免疫療法以及標靶蛋白降解劑等新興治療手段已展現出令人鼓舞的潛力。</w:t>
      </w:r>
    </w:p>
    <w:p w14:paraId="2A39E77F" w14:textId="77777777" w:rsidR="00D22C82" w:rsidRDefault="00D22C82">
      <w:pPr>
        <w:pStyle w:val="p2"/>
        <w:divId w:val="1350910573"/>
      </w:pPr>
    </w:p>
    <w:p w14:paraId="0A72BFF1" w14:textId="38C13B30" w:rsidR="00D22C82" w:rsidRDefault="00D22C82">
      <w:pPr>
        <w:pStyle w:val="p1"/>
        <w:divId w:val="1350910573"/>
      </w:pPr>
      <w:r>
        <w:rPr>
          <w:rStyle w:val="s1"/>
          <w:rFonts w:hint="eastAsia"/>
        </w:rPr>
        <w:t>本演講</w:t>
      </w:r>
      <w:r>
        <w:rPr>
          <w:rStyle w:val="s1"/>
        </w:rPr>
        <w:t>EGFR突變型NSCLC患者可採用的一線治療選擇，概述第三代EGFR TKI的抗藥性機轉，並進一步探討具前景的治療新策略，期盼為未來延長患者存活並改善預後開啟更多研究方向與臨床契機。</w:t>
      </w:r>
    </w:p>
    <w:p w14:paraId="054D2E67" w14:textId="77777777" w:rsidR="006E4B5D" w:rsidRDefault="006E4B5D">
      <w:pPr>
        <w:rPr>
          <w:lang w:val="it-IT"/>
        </w:rPr>
      </w:pPr>
    </w:p>
    <w:p w14:paraId="101B12EB" w14:textId="77777777" w:rsidR="001823F7" w:rsidRDefault="001823F7">
      <w:pPr>
        <w:rPr>
          <w:lang w:val="it-IT"/>
        </w:rPr>
      </w:pPr>
    </w:p>
    <w:p w14:paraId="2849B597" w14:textId="77777777" w:rsidR="001823F7" w:rsidRDefault="001823F7">
      <w:pPr>
        <w:rPr>
          <w:lang w:val="it-IT"/>
        </w:rPr>
      </w:pPr>
    </w:p>
    <w:p w14:paraId="521CF38B" w14:textId="77777777" w:rsidR="001823F7" w:rsidRDefault="001823F7">
      <w:pPr>
        <w:rPr>
          <w:lang w:val="it-IT"/>
        </w:rPr>
      </w:pPr>
    </w:p>
    <w:p w14:paraId="1C206C59" w14:textId="77777777" w:rsidR="001823F7" w:rsidRDefault="001823F7">
      <w:pPr>
        <w:rPr>
          <w:lang w:val="it-IT"/>
        </w:rPr>
      </w:pPr>
    </w:p>
    <w:p w14:paraId="6A616548" w14:textId="77777777" w:rsidR="001823F7" w:rsidRDefault="001823F7">
      <w:pPr>
        <w:rPr>
          <w:lang w:val="it-IT"/>
        </w:rPr>
      </w:pPr>
    </w:p>
    <w:p w14:paraId="42D894B3" w14:textId="77777777" w:rsidR="001823F7" w:rsidRDefault="001823F7">
      <w:pPr>
        <w:rPr>
          <w:lang w:val="it-IT"/>
        </w:rPr>
      </w:pPr>
    </w:p>
    <w:p w14:paraId="2844D3C6" w14:textId="77777777" w:rsidR="001823F7" w:rsidRDefault="001823F7">
      <w:pPr>
        <w:rPr>
          <w:lang w:val="it-IT"/>
        </w:rPr>
      </w:pPr>
    </w:p>
    <w:p w14:paraId="1F574ADA" w14:textId="77777777" w:rsidR="001823F7" w:rsidRDefault="001823F7">
      <w:pPr>
        <w:rPr>
          <w:lang w:val="it-IT"/>
        </w:rPr>
      </w:pPr>
    </w:p>
    <w:tbl>
      <w:tblPr>
        <w:tblStyle w:val="af2"/>
        <w:tblW w:w="0" w:type="auto"/>
        <w:tblLook w:val="04A0" w:firstRow="1" w:lastRow="0" w:firstColumn="1" w:lastColumn="0" w:noHBand="0" w:noVBand="1"/>
      </w:tblPr>
      <w:tblGrid>
        <w:gridCol w:w="1183"/>
        <w:gridCol w:w="7113"/>
      </w:tblGrid>
      <w:tr w:rsidR="001823F7" w:rsidRPr="00DE2C20" w14:paraId="0C46716F" w14:textId="77777777" w:rsidTr="00831FC4">
        <w:tc>
          <w:tcPr>
            <w:tcW w:w="8934" w:type="dxa"/>
            <w:gridSpan w:val="2"/>
            <w:vAlign w:val="center"/>
          </w:tcPr>
          <w:p w14:paraId="177F5E04" w14:textId="77777777" w:rsidR="001823F7" w:rsidRPr="00DE2C20" w:rsidRDefault="001823F7" w:rsidP="00831FC4">
            <w:pPr>
              <w:jc w:val="center"/>
              <w:rPr>
                <w:rFonts w:ascii="微軟正黑體" w:eastAsia="微軟正黑體" w:hAnsi="微軟正黑體"/>
                <w:b/>
                <w:sz w:val="22"/>
              </w:rPr>
            </w:pPr>
            <w:r w:rsidRPr="00DE2C20">
              <w:rPr>
                <w:rFonts w:ascii="微軟正黑體" w:eastAsia="微軟正黑體" w:hAnsi="微軟正黑體" w:hint="eastAsia"/>
                <w:b/>
                <w:sz w:val="36"/>
              </w:rPr>
              <w:t>演講摘要</w:t>
            </w:r>
          </w:p>
        </w:tc>
      </w:tr>
      <w:tr w:rsidR="001823F7" w:rsidRPr="00DE2C20" w14:paraId="1E4511A0" w14:textId="77777777" w:rsidTr="00831FC4">
        <w:trPr>
          <w:trHeight w:val="4736"/>
        </w:trPr>
        <w:tc>
          <w:tcPr>
            <w:tcW w:w="1258" w:type="dxa"/>
          </w:tcPr>
          <w:p w14:paraId="057A68B9" w14:textId="77777777" w:rsidR="001823F7" w:rsidRPr="00DE2C20" w:rsidRDefault="001823F7" w:rsidP="00831FC4">
            <w:pPr>
              <w:rPr>
                <w:rFonts w:ascii="微軟正黑體" w:eastAsia="微軟正黑體" w:hAnsi="微軟正黑體"/>
                <w:b/>
                <w:sz w:val="22"/>
              </w:rPr>
            </w:pPr>
            <w:r w:rsidRPr="00DE2C20">
              <w:rPr>
                <w:rFonts w:ascii="微軟正黑體" w:eastAsia="微軟正黑體" w:hAnsi="微軟正黑體" w:hint="eastAsia"/>
                <w:b/>
                <w:sz w:val="22"/>
              </w:rPr>
              <w:t>演講摘要</w:t>
            </w:r>
          </w:p>
        </w:tc>
        <w:tc>
          <w:tcPr>
            <w:tcW w:w="7676" w:type="dxa"/>
          </w:tcPr>
          <w:p w14:paraId="441039EE" w14:textId="77777777" w:rsidR="001823F7" w:rsidRDefault="001823F7" w:rsidP="00831FC4">
            <w:pPr>
              <w:jc w:val="both"/>
              <w:rPr>
                <w:rFonts w:ascii="微軟正黑體" w:eastAsia="微軟正黑體" w:hAnsi="微軟正黑體" w:cstheme="minorHAnsi"/>
                <w:sz w:val="24"/>
              </w:rPr>
            </w:pPr>
            <w:r>
              <w:rPr>
                <w:rFonts w:ascii="微軟正黑體" w:eastAsia="微軟正黑體" w:hAnsi="微軟正黑體" w:cstheme="minorHAnsi" w:hint="eastAsia"/>
                <w:sz w:val="24"/>
              </w:rPr>
              <w:t>驅動基因</w:t>
            </w:r>
            <w:r w:rsidRPr="00753F9D">
              <w:rPr>
                <w:rFonts w:ascii="微軟正黑體" w:eastAsia="微軟正黑體" w:hAnsi="微軟正黑體" w:cstheme="minorHAnsi"/>
                <w:sz w:val="24"/>
              </w:rPr>
              <w:t>在非小細胞肺癌（NSCLC）治療中扮演關鍵角色，因為這些基因突變是癌症發展的主要驅動因素。透過基因檢測可識別如 EGFR、ALK、ROS1、</w:t>
            </w:r>
            <w:r>
              <w:rPr>
                <w:rFonts w:ascii="微軟正黑體" w:eastAsia="微軟正黑體" w:hAnsi="微軟正黑體" w:cstheme="minorHAnsi" w:hint="eastAsia"/>
                <w:sz w:val="24"/>
              </w:rPr>
              <w:t>BRAF</w:t>
            </w:r>
            <w:r w:rsidRPr="00753F9D">
              <w:rPr>
                <w:rFonts w:ascii="微軟正黑體" w:eastAsia="微軟正黑體" w:hAnsi="微軟正黑體" w:cstheme="minorHAnsi"/>
                <w:sz w:val="24"/>
              </w:rPr>
              <w:t xml:space="preserve"> 等驅動基因，有助於選擇對應的標靶藥物進行治療，提高治療效果並延長病患存活時間。針對驅動基因的精準醫療已成為現代肺癌治療的重要趨勢。</w:t>
            </w:r>
          </w:p>
          <w:p w14:paraId="3D8B2632" w14:textId="77777777" w:rsidR="001823F7" w:rsidRPr="000A7CB1" w:rsidRDefault="001823F7" w:rsidP="00831FC4">
            <w:pPr>
              <w:jc w:val="both"/>
              <w:rPr>
                <w:rFonts w:ascii="微軟正黑體" w:eastAsia="微軟正黑體" w:hAnsi="微軟正黑體" w:cstheme="minorHAnsi"/>
                <w:sz w:val="24"/>
              </w:rPr>
            </w:pPr>
            <w:r w:rsidRPr="00753F9D">
              <w:rPr>
                <w:rFonts w:ascii="微軟正黑體" w:eastAsia="微軟正黑體" w:hAnsi="微軟正黑體" w:cstheme="minorHAnsi"/>
                <w:sz w:val="24"/>
              </w:rPr>
              <w:t>次世代定序(NGS)技術在非小細胞肺癌(NSCLC)的精準診斷中展現出明顯的優勢。傳統的順序檢測方法耗時且成本高，而NGS通過一次性全面基因組分析顯著提高了檢測效率。NGS能夠同時檢測多種基因突變、融合和拷貝數變化，不僅節省了時間和資源，也提高了檢測的敏感性和特異性。這種綜合基因組分析能更準確地識別患者特定的基因變異，從而指導個性化治療策略，增強臨床預後。此外，NGS技術還能追蹤腫瘤進化和治療抵抗機制，為研究和臨床日常應用提供了寶貴的數據支持。因此，NGS在NSCLC的診斷中具有顯著的優勢，代表了精準醫療未來的發展方向。</w:t>
            </w:r>
          </w:p>
        </w:tc>
      </w:tr>
    </w:tbl>
    <w:p w14:paraId="7AC94C41" w14:textId="77777777" w:rsidR="001823F7" w:rsidRPr="005237CC" w:rsidRDefault="001823F7">
      <w:pPr>
        <w:rPr>
          <w:rFonts w:hint="eastAsia"/>
          <w:lang w:val="it-IT"/>
        </w:rPr>
      </w:pPr>
    </w:p>
    <w:sectPr w:rsidR="001823F7" w:rsidRPr="005237C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837415" w14:textId="77777777" w:rsidR="001823F7" w:rsidRDefault="001823F7" w:rsidP="001823F7">
      <w:pPr>
        <w:spacing w:after="0" w:line="240" w:lineRule="auto"/>
      </w:pPr>
      <w:r>
        <w:separator/>
      </w:r>
    </w:p>
  </w:endnote>
  <w:endnote w:type="continuationSeparator" w:id="0">
    <w:p w14:paraId="78763E1B" w14:textId="77777777" w:rsidR="001823F7" w:rsidRDefault="001823F7" w:rsidP="001823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微軟正黑體">
    <w:panose1 w:val="020B0604030504040204"/>
    <w:charset w:val="88"/>
    <w:family w:val="swiss"/>
    <w:pitch w:val="variable"/>
    <w:sig w:usb0="000002A7" w:usb1="28CF4400" w:usb2="00000016" w:usb3="00000000" w:csb0="00100009"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4D6843" w14:textId="77777777" w:rsidR="001823F7" w:rsidRDefault="001823F7" w:rsidP="001823F7">
      <w:pPr>
        <w:spacing w:after="0" w:line="240" w:lineRule="auto"/>
      </w:pPr>
      <w:r>
        <w:separator/>
      </w:r>
    </w:p>
  </w:footnote>
  <w:footnote w:type="continuationSeparator" w:id="0">
    <w:p w14:paraId="396064E3" w14:textId="77777777" w:rsidR="001823F7" w:rsidRDefault="001823F7" w:rsidP="001823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101D1A"/>
    <w:multiLevelType w:val="multilevel"/>
    <w:tmpl w:val="60864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10603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4B5D"/>
    <w:rsid w:val="001823F7"/>
    <w:rsid w:val="00380D19"/>
    <w:rsid w:val="003B6A21"/>
    <w:rsid w:val="00416AE7"/>
    <w:rsid w:val="005237CC"/>
    <w:rsid w:val="006E4B5D"/>
    <w:rsid w:val="008345CE"/>
    <w:rsid w:val="00917E8B"/>
    <w:rsid w:val="00A16D89"/>
    <w:rsid w:val="00A375FA"/>
    <w:rsid w:val="00A75745"/>
    <w:rsid w:val="00C05B0F"/>
    <w:rsid w:val="00C803F8"/>
    <w:rsid w:val="00CE4D49"/>
    <w:rsid w:val="00D1274C"/>
    <w:rsid w:val="00D22C8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D876D7"/>
  <w15:chartTrackingRefBased/>
  <w15:docId w15:val="{3850D77E-B73B-407B-9598-E94CD799B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6E4B5D"/>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6E4B5D"/>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6E4B5D"/>
    <w:pPr>
      <w:keepNext/>
      <w:keepLines/>
      <w:spacing w:before="160" w:after="40"/>
      <w:outlineLvl w:val="2"/>
    </w:pPr>
    <w:rPr>
      <w:rFonts w:eastAsiaTheme="majorEastAsia" w:cstheme="majorBidi"/>
      <w:color w:val="0F4761" w:themeColor="accent1" w:themeShade="BF"/>
      <w:sz w:val="32"/>
      <w:szCs w:val="32"/>
    </w:rPr>
  </w:style>
  <w:style w:type="paragraph" w:styleId="4">
    <w:name w:val="heading 4"/>
    <w:basedOn w:val="a"/>
    <w:next w:val="a"/>
    <w:link w:val="40"/>
    <w:uiPriority w:val="9"/>
    <w:semiHidden/>
    <w:unhideWhenUsed/>
    <w:qFormat/>
    <w:rsid w:val="006E4B5D"/>
    <w:pPr>
      <w:keepNext/>
      <w:keepLines/>
      <w:spacing w:before="160" w:after="40"/>
      <w:outlineLvl w:val="3"/>
    </w:pPr>
    <w:rPr>
      <w:rFonts w:eastAsiaTheme="majorEastAsia" w:cstheme="majorBidi"/>
      <w:color w:val="0F4761" w:themeColor="accent1" w:themeShade="BF"/>
      <w:sz w:val="28"/>
      <w:szCs w:val="28"/>
    </w:rPr>
  </w:style>
  <w:style w:type="paragraph" w:styleId="5">
    <w:name w:val="heading 5"/>
    <w:basedOn w:val="a"/>
    <w:next w:val="a"/>
    <w:link w:val="50"/>
    <w:uiPriority w:val="9"/>
    <w:semiHidden/>
    <w:unhideWhenUsed/>
    <w:qFormat/>
    <w:rsid w:val="006E4B5D"/>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6E4B5D"/>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6E4B5D"/>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6E4B5D"/>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6E4B5D"/>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6E4B5D"/>
    <w:rPr>
      <w:rFonts w:asciiTheme="majorHAnsi" w:eastAsiaTheme="majorEastAsia" w:hAnsiTheme="majorHAnsi" w:cstheme="majorBidi"/>
      <w:color w:val="0F4761" w:themeColor="accent1" w:themeShade="BF"/>
      <w:sz w:val="48"/>
      <w:szCs w:val="48"/>
    </w:rPr>
  </w:style>
  <w:style w:type="character" w:customStyle="1" w:styleId="20">
    <w:name w:val="標題 2 字元"/>
    <w:basedOn w:val="a0"/>
    <w:link w:val="2"/>
    <w:uiPriority w:val="9"/>
    <w:semiHidden/>
    <w:rsid w:val="006E4B5D"/>
    <w:rPr>
      <w:rFonts w:asciiTheme="majorHAnsi" w:eastAsiaTheme="majorEastAsia" w:hAnsiTheme="majorHAnsi" w:cstheme="majorBidi"/>
      <w:color w:val="0F4761" w:themeColor="accent1" w:themeShade="BF"/>
      <w:sz w:val="40"/>
      <w:szCs w:val="40"/>
    </w:rPr>
  </w:style>
  <w:style w:type="character" w:customStyle="1" w:styleId="30">
    <w:name w:val="標題 3 字元"/>
    <w:basedOn w:val="a0"/>
    <w:link w:val="3"/>
    <w:uiPriority w:val="9"/>
    <w:semiHidden/>
    <w:rsid w:val="006E4B5D"/>
    <w:rPr>
      <w:rFonts w:eastAsiaTheme="majorEastAsia" w:cstheme="majorBidi"/>
      <w:color w:val="0F4761" w:themeColor="accent1" w:themeShade="BF"/>
      <w:sz w:val="32"/>
      <w:szCs w:val="32"/>
    </w:rPr>
  </w:style>
  <w:style w:type="character" w:customStyle="1" w:styleId="40">
    <w:name w:val="標題 4 字元"/>
    <w:basedOn w:val="a0"/>
    <w:link w:val="4"/>
    <w:uiPriority w:val="9"/>
    <w:semiHidden/>
    <w:rsid w:val="006E4B5D"/>
    <w:rPr>
      <w:rFonts w:eastAsiaTheme="majorEastAsia" w:cstheme="majorBidi"/>
      <w:color w:val="0F4761" w:themeColor="accent1" w:themeShade="BF"/>
      <w:sz w:val="28"/>
      <w:szCs w:val="28"/>
    </w:rPr>
  </w:style>
  <w:style w:type="character" w:customStyle="1" w:styleId="50">
    <w:name w:val="標題 5 字元"/>
    <w:basedOn w:val="a0"/>
    <w:link w:val="5"/>
    <w:uiPriority w:val="9"/>
    <w:semiHidden/>
    <w:rsid w:val="006E4B5D"/>
    <w:rPr>
      <w:rFonts w:eastAsiaTheme="majorEastAsia" w:cstheme="majorBidi"/>
      <w:color w:val="0F4761" w:themeColor="accent1" w:themeShade="BF"/>
    </w:rPr>
  </w:style>
  <w:style w:type="character" w:customStyle="1" w:styleId="60">
    <w:name w:val="標題 6 字元"/>
    <w:basedOn w:val="a0"/>
    <w:link w:val="6"/>
    <w:uiPriority w:val="9"/>
    <w:semiHidden/>
    <w:rsid w:val="006E4B5D"/>
    <w:rPr>
      <w:rFonts w:eastAsiaTheme="majorEastAsia" w:cstheme="majorBidi"/>
      <w:color w:val="595959" w:themeColor="text1" w:themeTint="A6"/>
    </w:rPr>
  </w:style>
  <w:style w:type="character" w:customStyle="1" w:styleId="70">
    <w:name w:val="標題 7 字元"/>
    <w:basedOn w:val="a0"/>
    <w:link w:val="7"/>
    <w:uiPriority w:val="9"/>
    <w:semiHidden/>
    <w:rsid w:val="006E4B5D"/>
    <w:rPr>
      <w:rFonts w:eastAsiaTheme="majorEastAsia" w:cstheme="majorBidi"/>
      <w:color w:val="595959" w:themeColor="text1" w:themeTint="A6"/>
    </w:rPr>
  </w:style>
  <w:style w:type="character" w:customStyle="1" w:styleId="80">
    <w:name w:val="標題 8 字元"/>
    <w:basedOn w:val="a0"/>
    <w:link w:val="8"/>
    <w:uiPriority w:val="9"/>
    <w:semiHidden/>
    <w:rsid w:val="006E4B5D"/>
    <w:rPr>
      <w:rFonts w:eastAsiaTheme="majorEastAsia" w:cstheme="majorBidi"/>
      <w:color w:val="272727" w:themeColor="text1" w:themeTint="D8"/>
    </w:rPr>
  </w:style>
  <w:style w:type="character" w:customStyle="1" w:styleId="90">
    <w:name w:val="標題 9 字元"/>
    <w:basedOn w:val="a0"/>
    <w:link w:val="9"/>
    <w:uiPriority w:val="9"/>
    <w:semiHidden/>
    <w:rsid w:val="006E4B5D"/>
    <w:rPr>
      <w:rFonts w:eastAsiaTheme="majorEastAsia" w:cstheme="majorBidi"/>
      <w:color w:val="272727" w:themeColor="text1" w:themeTint="D8"/>
    </w:rPr>
  </w:style>
  <w:style w:type="paragraph" w:styleId="a3">
    <w:name w:val="Title"/>
    <w:basedOn w:val="a"/>
    <w:next w:val="a"/>
    <w:link w:val="a4"/>
    <w:uiPriority w:val="10"/>
    <w:qFormat/>
    <w:rsid w:val="006E4B5D"/>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標題 字元"/>
    <w:basedOn w:val="a0"/>
    <w:link w:val="a3"/>
    <w:uiPriority w:val="10"/>
    <w:rsid w:val="006E4B5D"/>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6E4B5D"/>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標題 字元"/>
    <w:basedOn w:val="a0"/>
    <w:link w:val="a5"/>
    <w:uiPriority w:val="11"/>
    <w:rsid w:val="006E4B5D"/>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6E4B5D"/>
    <w:pPr>
      <w:spacing w:before="160"/>
      <w:jc w:val="center"/>
    </w:pPr>
    <w:rPr>
      <w:i/>
      <w:iCs/>
      <w:color w:val="404040" w:themeColor="text1" w:themeTint="BF"/>
    </w:rPr>
  </w:style>
  <w:style w:type="character" w:customStyle="1" w:styleId="a8">
    <w:name w:val="引文 字元"/>
    <w:basedOn w:val="a0"/>
    <w:link w:val="a7"/>
    <w:uiPriority w:val="29"/>
    <w:rsid w:val="006E4B5D"/>
    <w:rPr>
      <w:i/>
      <w:iCs/>
      <w:color w:val="404040" w:themeColor="text1" w:themeTint="BF"/>
    </w:rPr>
  </w:style>
  <w:style w:type="paragraph" w:styleId="a9">
    <w:name w:val="List Paragraph"/>
    <w:basedOn w:val="a"/>
    <w:uiPriority w:val="34"/>
    <w:qFormat/>
    <w:rsid w:val="006E4B5D"/>
    <w:pPr>
      <w:ind w:left="720"/>
      <w:contextualSpacing/>
    </w:pPr>
  </w:style>
  <w:style w:type="character" w:styleId="aa">
    <w:name w:val="Intense Emphasis"/>
    <w:basedOn w:val="a0"/>
    <w:uiPriority w:val="21"/>
    <w:qFormat/>
    <w:rsid w:val="006E4B5D"/>
    <w:rPr>
      <w:i/>
      <w:iCs/>
      <w:color w:val="0F4761" w:themeColor="accent1" w:themeShade="BF"/>
    </w:rPr>
  </w:style>
  <w:style w:type="paragraph" w:styleId="ab">
    <w:name w:val="Intense Quote"/>
    <w:basedOn w:val="a"/>
    <w:next w:val="a"/>
    <w:link w:val="ac"/>
    <w:uiPriority w:val="30"/>
    <w:qFormat/>
    <w:rsid w:val="006E4B5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6E4B5D"/>
    <w:rPr>
      <w:i/>
      <w:iCs/>
      <w:color w:val="0F4761" w:themeColor="accent1" w:themeShade="BF"/>
    </w:rPr>
  </w:style>
  <w:style w:type="character" w:styleId="ad">
    <w:name w:val="Intense Reference"/>
    <w:basedOn w:val="a0"/>
    <w:uiPriority w:val="32"/>
    <w:qFormat/>
    <w:rsid w:val="006E4B5D"/>
    <w:rPr>
      <w:b/>
      <w:bCs/>
      <w:smallCaps/>
      <w:color w:val="0F4761" w:themeColor="accent1" w:themeShade="BF"/>
      <w:spacing w:val="5"/>
    </w:rPr>
  </w:style>
  <w:style w:type="paragraph" w:customStyle="1" w:styleId="p1">
    <w:name w:val="p1"/>
    <w:basedOn w:val="a"/>
    <w:rsid w:val="00D22C82"/>
    <w:pPr>
      <w:widowControl/>
      <w:spacing w:before="100" w:beforeAutospacing="1" w:after="100" w:afterAutospacing="1" w:line="240" w:lineRule="auto"/>
    </w:pPr>
    <w:rPr>
      <w:rFonts w:ascii="新細明體" w:eastAsia="新細明體" w:hAnsi="新細明體" w:cs="新細明體"/>
      <w:kern w:val="0"/>
      <w14:ligatures w14:val="none"/>
    </w:rPr>
  </w:style>
  <w:style w:type="character" w:customStyle="1" w:styleId="s1">
    <w:name w:val="s1"/>
    <w:basedOn w:val="a0"/>
    <w:rsid w:val="00D22C82"/>
  </w:style>
  <w:style w:type="paragraph" w:customStyle="1" w:styleId="p2">
    <w:name w:val="p2"/>
    <w:basedOn w:val="a"/>
    <w:rsid w:val="00D22C82"/>
    <w:pPr>
      <w:widowControl/>
      <w:spacing w:before="100" w:beforeAutospacing="1" w:after="100" w:afterAutospacing="1" w:line="240" w:lineRule="auto"/>
    </w:pPr>
    <w:rPr>
      <w:rFonts w:ascii="新細明體" w:eastAsia="新細明體" w:hAnsi="新細明體" w:cs="新細明體"/>
      <w:kern w:val="0"/>
      <w14:ligatures w14:val="none"/>
    </w:rPr>
  </w:style>
  <w:style w:type="paragraph" w:styleId="ae">
    <w:name w:val="header"/>
    <w:basedOn w:val="a"/>
    <w:link w:val="af"/>
    <w:uiPriority w:val="99"/>
    <w:unhideWhenUsed/>
    <w:rsid w:val="001823F7"/>
    <w:pPr>
      <w:tabs>
        <w:tab w:val="center" w:pos="4153"/>
        <w:tab w:val="right" w:pos="8306"/>
      </w:tabs>
      <w:snapToGrid w:val="0"/>
    </w:pPr>
    <w:rPr>
      <w:sz w:val="20"/>
      <w:szCs w:val="20"/>
    </w:rPr>
  </w:style>
  <w:style w:type="character" w:customStyle="1" w:styleId="af">
    <w:name w:val="頁首 字元"/>
    <w:basedOn w:val="a0"/>
    <w:link w:val="ae"/>
    <w:uiPriority w:val="99"/>
    <w:rsid w:val="001823F7"/>
    <w:rPr>
      <w:sz w:val="20"/>
      <w:szCs w:val="20"/>
    </w:rPr>
  </w:style>
  <w:style w:type="paragraph" w:styleId="af0">
    <w:name w:val="footer"/>
    <w:basedOn w:val="a"/>
    <w:link w:val="af1"/>
    <w:uiPriority w:val="99"/>
    <w:unhideWhenUsed/>
    <w:rsid w:val="001823F7"/>
    <w:pPr>
      <w:tabs>
        <w:tab w:val="center" w:pos="4153"/>
        <w:tab w:val="right" w:pos="8306"/>
      </w:tabs>
      <w:snapToGrid w:val="0"/>
    </w:pPr>
    <w:rPr>
      <w:sz w:val="20"/>
      <w:szCs w:val="20"/>
    </w:rPr>
  </w:style>
  <w:style w:type="character" w:customStyle="1" w:styleId="af1">
    <w:name w:val="頁尾 字元"/>
    <w:basedOn w:val="a0"/>
    <w:link w:val="af0"/>
    <w:uiPriority w:val="99"/>
    <w:rsid w:val="001823F7"/>
    <w:rPr>
      <w:sz w:val="20"/>
      <w:szCs w:val="20"/>
    </w:rPr>
  </w:style>
  <w:style w:type="table" w:styleId="af2">
    <w:name w:val="Table Grid"/>
    <w:basedOn w:val="a1"/>
    <w:uiPriority w:val="39"/>
    <w:rsid w:val="001823F7"/>
    <w:pPr>
      <w:spacing w:after="0" w:line="240" w:lineRule="auto"/>
    </w:pPr>
    <w:rPr>
      <w:rFonts w:ascii="Arial" w:hAnsi="Arial" w:cs="Arial"/>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910573">
      <w:bodyDiv w:val="1"/>
      <w:marLeft w:val="0"/>
      <w:marRight w:val="0"/>
      <w:marTop w:val="0"/>
      <w:marBottom w:val="0"/>
      <w:divBdr>
        <w:top w:val="none" w:sz="0" w:space="0" w:color="auto"/>
        <w:left w:val="none" w:sz="0" w:space="0" w:color="auto"/>
        <w:bottom w:val="none" w:sz="0" w:space="0" w:color="auto"/>
        <w:right w:val="none" w:sz="0" w:space="0" w:color="auto"/>
      </w:divBdr>
    </w:div>
    <w:div w:id="1857185592">
      <w:bodyDiv w:val="1"/>
      <w:marLeft w:val="0"/>
      <w:marRight w:val="0"/>
      <w:marTop w:val="0"/>
      <w:marBottom w:val="0"/>
      <w:divBdr>
        <w:top w:val="none" w:sz="0" w:space="0" w:color="auto"/>
        <w:left w:val="none" w:sz="0" w:space="0" w:color="auto"/>
        <w:bottom w:val="none" w:sz="0" w:space="0" w:color="auto"/>
        <w:right w:val="none" w:sz="0" w:space="0" w:color="auto"/>
      </w:divBdr>
      <w:divsChild>
        <w:div w:id="185022678">
          <w:marLeft w:val="0"/>
          <w:marRight w:val="0"/>
          <w:marTop w:val="0"/>
          <w:marBottom w:val="0"/>
          <w:divBdr>
            <w:top w:val="none" w:sz="0" w:space="0" w:color="auto"/>
            <w:left w:val="none" w:sz="0" w:space="0" w:color="auto"/>
            <w:bottom w:val="none" w:sz="0" w:space="0" w:color="auto"/>
            <w:right w:val="none" w:sz="0" w:space="0" w:color="auto"/>
          </w:divBdr>
          <w:divsChild>
            <w:div w:id="75515192">
              <w:marLeft w:val="0"/>
              <w:marRight w:val="0"/>
              <w:marTop w:val="0"/>
              <w:marBottom w:val="0"/>
              <w:divBdr>
                <w:top w:val="none" w:sz="0" w:space="0" w:color="auto"/>
                <w:left w:val="none" w:sz="0" w:space="0" w:color="auto"/>
                <w:bottom w:val="none" w:sz="0" w:space="0" w:color="auto"/>
                <w:right w:val="none" w:sz="0" w:space="0" w:color="auto"/>
              </w:divBdr>
              <w:divsChild>
                <w:div w:id="192769876">
                  <w:marLeft w:val="0"/>
                  <w:marRight w:val="0"/>
                  <w:marTop w:val="0"/>
                  <w:marBottom w:val="0"/>
                  <w:divBdr>
                    <w:top w:val="none" w:sz="0" w:space="0" w:color="auto"/>
                    <w:left w:val="none" w:sz="0" w:space="0" w:color="auto"/>
                    <w:bottom w:val="none" w:sz="0" w:space="0" w:color="auto"/>
                    <w:right w:val="none" w:sz="0" w:space="0" w:color="auto"/>
                  </w:divBdr>
                  <w:divsChild>
                    <w:div w:id="1253508523">
                      <w:marLeft w:val="0"/>
                      <w:marRight w:val="0"/>
                      <w:marTop w:val="0"/>
                      <w:marBottom w:val="0"/>
                      <w:divBdr>
                        <w:top w:val="none" w:sz="0" w:space="0" w:color="auto"/>
                        <w:left w:val="none" w:sz="0" w:space="0" w:color="auto"/>
                        <w:bottom w:val="none" w:sz="0" w:space="0" w:color="auto"/>
                        <w:right w:val="none" w:sz="0" w:space="0" w:color="auto"/>
                      </w:divBdr>
                      <w:divsChild>
                        <w:div w:id="54861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8169889">
          <w:marLeft w:val="0"/>
          <w:marRight w:val="0"/>
          <w:marTop w:val="0"/>
          <w:marBottom w:val="0"/>
          <w:divBdr>
            <w:top w:val="none" w:sz="0" w:space="0" w:color="auto"/>
            <w:left w:val="none" w:sz="0" w:space="0" w:color="auto"/>
            <w:bottom w:val="none" w:sz="0" w:space="0" w:color="auto"/>
            <w:right w:val="none" w:sz="0" w:space="0" w:color="auto"/>
          </w:divBdr>
          <w:divsChild>
            <w:div w:id="2024935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9580260">
      <w:bodyDiv w:val="1"/>
      <w:marLeft w:val="0"/>
      <w:marRight w:val="0"/>
      <w:marTop w:val="0"/>
      <w:marBottom w:val="0"/>
      <w:divBdr>
        <w:top w:val="none" w:sz="0" w:space="0" w:color="auto"/>
        <w:left w:val="none" w:sz="0" w:space="0" w:color="auto"/>
        <w:bottom w:val="none" w:sz="0" w:space="0" w:color="auto"/>
        <w:right w:val="none" w:sz="0" w:space="0" w:color="auto"/>
      </w:divBdr>
      <w:divsChild>
        <w:div w:id="2021618833">
          <w:marLeft w:val="0"/>
          <w:marRight w:val="0"/>
          <w:marTop w:val="0"/>
          <w:marBottom w:val="0"/>
          <w:divBdr>
            <w:top w:val="none" w:sz="0" w:space="0" w:color="auto"/>
            <w:left w:val="none" w:sz="0" w:space="0" w:color="auto"/>
            <w:bottom w:val="none" w:sz="0" w:space="0" w:color="auto"/>
            <w:right w:val="none" w:sz="0" w:space="0" w:color="auto"/>
          </w:divBdr>
          <w:divsChild>
            <w:div w:id="642543567">
              <w:marLeft w:val="0"/>
              <w:marRight w:val="0"/>
              <w:marTop w:val="0"/>
              <w:marBottom w:val="0"/>
              <w:divBdr>
                <w:top w:val="none" w:sz="0" w:space="0" w:color="auto"/>
                <w:left w:val="none" w:sz="0" w:space="0" w:color="auto"/>
                <w:bottom w:val="none" w:sz="0" w:space="0" w:color="auto"/>
                <w:right w:val="none" w:sz="0" w:space="0" w:color="auto"/>
              </w:divBdr>
              <w:divsChild>
                <w:div w:id="1813406111">
                  <w:marLeft w:val="0"/>
                  <w:marRight w:val="0"/>
                  <w:marTop w:val="0"/>
                  <w:marBottom w:val="0"/>
                  <w:divBdr>
                    <w:top w:val="none" w:sz="0" w:space="0" w:color="auto"/>
                    <w:left w:val="none" w:sz="0" w:space="0" w:color="auto"/>
                    <w:bottom w:val="none" w:sz="0" w:space="0" w:color="auto"/>
                    <w:right w:val="none" w:sz="0" w:space="0" w:color="auto"/>
                  </w:divBdr>
                  <w:divsChild>
                    <w:div w:id="1222865947">
                      <w:marLeft w:val="0"/>
                      <w:marRight w:val="0"/>
                      <w:marTop w:val="0"/>
                      <w:marBottom w:val="0"/>
                      <w:divBdr>
                        <w:top w:val="none" w:sz="0" w:space="0" w:color="auto"/>
                        <w:left w:val="none" w:sz="0" w:space="0" w:color="auto"/>
                        <w:bottom w:val="none" w:sz="0" w:space="0" w:color="auto"/>
                        <w:right w:val="none" w:sz="0" w:space="0" w:color="auto"/>
                      </w:divBdr>
                      <w:divsChild>
                        <w:div w:id="73818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7985475">
          <w:marLeft w:val="0"/>
          <w:marRight w:val="0"/>
          <w:marTop w:val="0"/>
          <w:marBottom w:val="0"/>
          <w:divBdr>
            <w:top w:val="none" w:sz="0" w:space="0" w:color="auto"/>
            <w:left w:val="none" w:sz="0" w:space="0" w:color="auto"/>
            <w:bottom w:val="none" w:sz="0" w:space="0" w:color="auto"/>
            <w:right w:val="none" w:sz="0" w:space="0" w:color="auto"/>
          </w:divBdr>
          <w:divsChild>
            <w:div w:id="390228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134</Words>
  <Characters>766</Characters>
  <Application>Microsoft Office Word</Application>
  <DocSecurity>0</DocSecurity>
  <Lines>6</Lines>
  <Paragraphs>1</Paragraphs>
  <ScaleCrop>false</ScaleCrop>
  <Company/>
  <LinksUpToDate>false</LinksUpToDate>
  <CharactersWithSpaces>899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Chien, Jacey</dc:creator>
  <cp:keywords/>
  <dc:description/>
  <cp:lastModifiedBy>晨瑜 台灣肺癌研究學會</cp:lastModifiedBy>
  <cp:revision>3</cp:revision>
  <dcterms:created xsi:type="dcterms:W3CDTF">2025-07-18T09:04:00Z</dcterms:created>
  <dcterms:modified xsi:type="dcterms:W3CDTF">2025-07-21T07:47:00Z</dcterms:modified>
</cp:coreProperties>
</file>