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D11C01" w14:textId="77935434" w:rsidR="00A0576D" w:rsidRPr="00A0576D" w:rsidRDefault="00A0576D">
      <w:pPr>
        <w:rPr>
          <w:rFonts w:ascii="Calibri" w:hAnsi="Calibri" w:cs="Calibri"/>
          <w:b/>
          <w:bCs/>
        </w:rPr>
      </w:pPr>
      <w:r w:rsidRPr="00A0576D">
        <w:rPr>
          <w:rFonts w:ascii="Calibri" w:hAnsi="Calibri" w:cs="Calibri"/>
          <w:b/>
          <w:bCs/>
        </w:rPr>
        <w:t>Looking Forward to Treatment of Stage IV NSCLC without driver mutations: novel immunotherapies</w:t>
      </w:r>
    </w:p>
    <w:p w14:paraId="55898493" w14:textId="77777777" w:rsidR="00A0576D" w:rsidRPr="00A0576D" w:rsidRDefault="00A0576D" w:rsidP="00A0576D">
      <w:pPr>
        <w:pStyle w:val="Web"/>
        <w:rPr>
          <w:rFonts w:ascii="Calibri" w:hAnsi="Calibri" w:cs="Calibri"/>
          <w:lang w:val="en-US"/>
        </w:rPr>
      </w:pPr>
      <w:r w:rsidRPr="00A0576D">
        <w:rPr>
          <w:rFonts w:ascii="Calibri" w:hAnsi="Calibri" w:cs="Calibri"/>
          <w:lang w:val="en-US"/>
        </w:rPr>
        <w:t>The management of stage IV non-small cell lung cancer (NSCLC) without actionable driver mutations has seen a paradigm shift with the advent of immunotherapy. Immune checkpoint inhibitors (ICIs) targeting PD-1/PD-L1 pathways have established themselves as the backbone of first-line therapy, with nine FDA-approved agents demonstrating significant survival benefits. However, challenges such as primary and acquired resistance necessitate the exploration of novel strategies to enhance and sustain the efficacy of immunotherapy.</w:t>
      </w:r>
    </w:p>
    <w:p w14:paraId="17AFEC66" w14:textId="77777777" w:rsidR="00A0576D" w:rsidRPr="00A0576D" w:rsidRDefault="00A0576D" w:rsidP="00A0576D">
      <w:pPr>
        <w:pStyle w:val="Web"/>
        <w:rPr>
          <w:rFonts w:ascii="Calibri" w:hAnsi="Calibri" w:cs="Calibri"/>
          <w:lang w:val="en-US"/>
        </w:rPr>
      </w:pPr>
      <w:r w:rsidRPr="00A0576D">
        <w:rPr>
          <w:rFonts w:ascii="Calibri" w:hAnsi="Calibri" w:cs="Calibri"/>
          <w:lang w:val="en-US"/>
        </w:rPr>
        <w:t>Emerging approaches to overcome ICI resistance include combination therapies that target multiple immune pathways. For example, TIGIT inhibitors, in combination with PD-1/PD-L1 inhibitors, are being investigated in Phase 3 trials for patients with high PD-L1 expression. Additional checkpoint molecules, such as LAG-3 and TIM-3, are under active evaluation to counteract tumor immune evasion mechanisms.</w:t>
      </w:r>
    </w:p>
    <w:p w14:paraId="530CB53C" w14:textId="77777777" w:rsidR="00A0576D" w:rsidRPr="00A0576D" w:rsidRDefault="00A0576D" w:rsidP="00A0576D">
      <w:pPr>
        <w:pStyle w:val="Web"/>
        <w:rPr>
          <w:rFonts w:ascii="Calibri" w:hAnsi="Calibri" w:cs="Calibri"/>
          <w:lang w:val="en-US"/>
        </w:rPr>
      </w:pPr>
      <w:r w:rsidRPr="00A0576D">
        <w:rPr>
          <w:rFonts w:ascii="Calibri" w:hAnsi="Calibri" w:cs="Calibri"/>
          <w:lang w:val="en-US"/>
        </w:rPr>
        <w:t xml:space="preserve">Beyond checkpoint inhibitors, novel modalities such as bispecific antibodies, antibody-drug conjugates (ADCs), and cellular therapies like CAR-T cells and tumor-infiltrating lymphocytes (TILs) hold promise. Bispecific antibodies simultaneously target PD-1/PD-L1 and other immune checkpoints or tumor-associated antigens, potentially enhancing immune response and tumor control. Similarly, ADCs leverage targeted cytotoxicity to improve outcomes, as evidenced by early successes with agents like trastuzumab </w:t>
      </w:r>
      <w:proofErr w:type="spellStart"/>
      <w:r w:rsidRPr="00A0576D">
        <w:rPr>
          <w:rFonts w:ascii="Calibri" w:hAnsi="Calibri" w:cs="Calibri"/>
          <w:lang w:val="en-US"/>
        </w:rPr>
        <w:t>deruxtecan</w:t>
      </w:r>
      <w:proofErr w:type="spellEnd"/>
      <w:r w:rsidRPr="00A0576D">
        <w:rPr>
          <w:rFonts w:ascii="Calibri" w:hAnsi="Calibri" w:cs="Calibri"/>
          <w:lang w:val="en-US"/>
        </w:rPr>
        <w:t xml:space="preserve"> and all ambitious and wide ongoing programs targeting TROP-2.</w:t>
      </w:r>
    </w:p>
    <w:p w14:paraId="299190C5" w14:textId="77777777" w:rsidR="00A0576D" w:rsidRPr="00A0576D" w:rsidRDefault="00A0576D" w:rsidP="00A0576D">
      <w:pPr>
        <w:pStyle w:val="Web"/>
        <w:rPr>
          <w:rFonts w:ascii="Calibri" w:hAnsi="Calibri" w:cs="Calibri"/>
          <w:lang w:val="en-US"/>
        </w:rPr>
      </w:pPr>
      <w:r w:rsidRPr="00A0576D">
        <w:rPr>
          <w:rFonts w:ascii="Calibri" w:hAnsi="Calibri" w:cs="Calibri"/>
          <w:lang w:val="en-US"/>
        </w:rPr>
        <w:t>Another frontier in NSCLC immunotherapy involves vaccines and oncolytic viruses designed to boost tumor immunogenicity. mRNA-based vaccines tailored to individual neoantigens are under clinical investigation, with preliminary data showing durable T-cell responses. New classes of cytokine modulators, Tregs modifiers, and immune cells engagers targeting the tumor microenvironment (TME) are being developed to augment immune infiltration and reduce immune-suppressive elements.</w:t>
      </w:r>
    </w:p>
    <w:p w14:paraId="506BA477" w14:textId="77777777" w:rsidR="00A0576D" w:rsidRPr="00A0576D" w:rsidRDefault="00A0576D" w:rsidP="00A0576D">
      <w:pPr>
        <w:pStyle w:val="Web"/>
        <w:rPr>
          <w:rFonts w:ascii="Calibri" w:hAnsi="Calibri" w:cs="Calibri"/>
          <w:lang w:val="en-US"/>
        </w:rPr>
      </w:pPr>
      <w:r w:rsidRPr="00A0576D">
        <w:rPr>
          <w:rFonts w:ascii="Calibri" w:hAnsi="Calibri" w:cs="Calibri"/>
          <w:lang w:val="en-US"/>
        </w:rPr>
        <w:t>Combination strategies integrating ICIs with chemotherapy, radiation, or targeted therapies are also being optimized to address the heterogeneity of the TME. Furthermore, the development of biomarkers to predict response to therapy is critical for tailoring treatments and maximizing therapeutic benefit.</w:t>
      </w:r>
    </w:p>
    <w:p w14:paraId="58CD9BC8" w14:textId="4C914D56" w:rsidR="00A0576D" w:rsidRPr="00A0576D" w:rsidRDefault="00A0576D" w:rsidP="00A0576D">
      <w:pPr>
        <w:rPr>
          <w:rFonts w:ascii="Calibri" w:hAnsi="Calibri" w:cs="Calibri"/>
        </w:rPr>
      </w:pPr>
      <w:r w:rsidRPr="00A0576D">
        <w:rPr>
          <w:rFonts w:ascii="Calibri" w:hAnsi="Calibri" w:cs="Calibri"/>
        </w:rPr>
        <w:lastRenderedPageBreak/>
        <w:t>The future of stage IV NSCLC treatment without driver mutations is increasingly defined by a multimodal approach incorporating novel immunotherapies. Ongoing trials aim to refine these strategies, overcome resistance mechanisms, and extend survival while maintaining quality of life for patients.</w:t>
      </w:r>
    </w:p>
    <w:p w14:paraId="3FA20851" w14:textId="79A937F2" w:rsidR="00A0576D" w:rsidRPr="00A0576D" w:rsidRDefault="00A0576D">
      <w:pPr>
        <w:rPr>
          <w:rFonts w:ascii="Calibri" w:hAnsi="Calibri" w:cs="Calibri"/>
          <w:b/>
          <w:bCs/>
        </w:rPr>
      </w:pPr>
      <w:r w:rsidRPr="00A0576D">
        <w:rPr>
          <w:rFonts w:ascii="Calibri" w:hAnsi="Calibri" w:cs="Calibri"/>
          <w:b/>
          <w:bCs/>
        </w:rPr>
        <w:t>Antibody Drug Conjugate: current status and future prospectives</w:t>
      </w:r>
    </w:p>
    <w:p w14:paraId="64E8D4FE" w14:textId="77777777" w:rsidR="00A0576D" w:rsidRPr="00A0576D" w:rsidRDefault="00A0576D" w:rsidP="00A0576D">
      <w:pPr>
        <w:rPr>
          <w:rFonts w:ascii="Calibri" w:hAnsi="Calibri" w:cs="Calibri"/>
        </w:rPr>
      </w:pPr>
      <w:r w:rsidRPr="00A0576D">
        <w:rPr>
          <w:rFonts w:ascii="Calibri" w:hAnsi="Calibri" w:cs="Calibri"/>
        </w:rPr>
        <w:t>Antibody-drug conjugates (ADCs) have emerged as a transformative therapeutic modality in oncology, offering a precise approach to target tumor cells while minimizing systemic toxicity. In the context of lung cancer—a leading cause of cancer-related mortality worldwide—ADCs present a promising solution to address the unmet needs in advanced and refractory disease settings.</w:t>
      </w:r>
    </w:p>
    <w:p w14:paraId="533FF933" w14:textId="77777777" w:rsidR="00A0576D" w:rsidRPr="00A0576D" w:rsidRDefault="00A0576D" w:rsidP="00A0576D">
      <w:pPr>
        <w:rPr>
          <w:rFonts w:ascii="Calibri" w:hAnsi="Calibri" w:cs="Calibri"/>
        </w:rPr>
      </w:pPr>
      <w:r w:rsidRPr="00A0576D">
        <w:rPr>
          <w:rFonts w:ascii="Calibri" w:hAnsi="Calibri" w:cs="Calibri"/>
        </w:rPr>
        <w:t xml:space="preserve">This lecture will explore the current status of ADCs in lung cancer, focusing on their mechanisms of action, clinical efficacy, and safety profiles. Specific emphasis will be placed on FDA-approved ADCs such as trastuzumab </w:t>
      </w:r>
      <w:proofErr w:type="spellStart"/>
      <w:r w:rsidRPr="00A0576D">
        <w:rPr>
          <w:rFonts w:ascii="Calibri" w:hAnsi="Calibri" w:cs="Calibri"/>
        </w:rPr>
        <w:t>deruxtecan</w:t>
      </w:r>
      <w:proofErr w:type="spellEnd"/>
      <w:r w:rsidRPr="00A0576D">
        <w:rPr>
          <w:rFonts w:ascii="Calibri" w:hAnsi="Calibri" w:cs="Calibri"/>
        </w:rPr>
        <w:t xml:space="preserve"> for HER2-mutant lung cancers, and ongoing advancements targeting novel antigens like TROP2, HER3, B7H3 and CEACAM5. Key clinical trials will be reviewed to highlight how ADCs are reshaping therapeutic strategies, including combinations with immune checkpoint inhibitors and other systemic therapies.</w:t>
      </w:r>
    </w:p>
    <w:p w14:paraId="58480D11" w14:textId="77777777" w:rsidR="00A0576D" w:rsidRPr="00A0576D" w:rsidRDefault="00A0576D" w:rsidP="00A0576D">
      <w:pPr>
        <w:rPr>
          <w:rFonts w:ascii="Calibri" w:hAnsi="Calibri" w:cs="Calibri"/>
        </w:rPr>
      </w:pPr>
      <w:r w:rsidRPr="00A0576D">
        <w:rPr>
          <w:rFonts w:ascii="Calibri" w:hAnsi="Calibri" w:cs="Calibri"/>
        </w:rPr>
        <w:t>Challenges unique to lung cancer, such as heterogeneous antigen expression, drug resistance mechanisms, and balancing efficacy with off-target toxicities, will be discussed. Strategies to overcome these limitations, including the development of more specific antibodies, stable linkers, and innovative payloads, will also be examined.</w:t>
      </w:r>
    </w:p>
    <w:p w14:paraId="4832D778" w14:textId="5F2A2276" w:rsidR="00A0576D" w:rsidRPr="00A0576D" w:rsidRDefault="00A0576D" w:rsidP="00A0576D">
      <w:pPr>
        <w:rPr>
          <w:rFonts w:ascii="Calibri" w:hAnsi="Calibri" w:cs="Calibri"/>
        </w:rPr>
      </w:pPr>
      <w:r w:rsidRPr="00A0576D">
        <w:rPr>
          <w:rFonts w:ascii="Calibri" w:hAnsi="Calibri" w:cs="Calibri"/>
        </w:rPr>
        <w:t>Finally, the lecture will offer insights into the future prospects of ADCs in lung cancer. Topics will include next-generation ADC technologies, novel biomarkers for patient selection, and the potential expansion of ADC applications to early-stage disease. Through a comprehensive analysis of the current state and emerging opportunities, this presentation aims to provide a detailed understanding of how ADCs are poised to revolutionize lung cancer therapy and improve patient outcomes.</w:t>
      </w:r>
    </w:p>
    <w:p w14:paraId="69D30B12" w14:textId="66AC1FFA" w:rsidR="00A0576D" w:rsidRPr="00A0576D" w:rsidRDefault="00A0576D">
      <w:pPr>
        <w:rPr>
          <w:rFonts w:ascii="Calibri" w:hAnsi="Calibri" w:cs="Calibri"/>
        </w:rPr>
      </w:pPr>
      <w:r w:rsidRPr="00A0576D">
        <w:rPr>
          <w:rFonts w:ascii="Calibri" w:hAnsi="Calibri" w:cs="Calibri"/>
        </w:rPr>
        <w:t xml:space="preserve">Special </w:t>
      </w:r>
      <w:proofErr w:type="spellStart"/>
      <w:proofErr w:type="gramStart"/>
      <w:r w:rsidRPr="00A0576D">
        <w:rPr>
          <w:rFonts w:ascii="Calibri" w:hAnsi="Calibri" w:cs="Calibri"/>
        </w:rPr>
        <w:t>Leture</w:t>
      </w:r>
      <w:proofErr w:type="spellEnd"/>
      <w:r w:rsidRPr="00A0576D">
        <w:rPr>
          <w:rFonts w:ascii="Calibri" w:hAnsi="Calibri" w:cs="Calibri"/>
        </w:rPr>
        <w:t xml:space="preserve"> :</w:t>
      </w:r>
      <w:proofErr w:type="gramEnd"/>
      <w:r w:rsidRPr="00A0576D">
        <w:rPr>
          <w:rFonts w:ascii="Calibri" w:hAnsi="Calibri" w:cs="Calibri"/>
        </w:rPr>
        <w:t xml:space="preserve"> Immune Microenvironment</w:t>
      </w:r>
    </w:p>
    <w:p w14:paraId="46995D74" w14:textId="050706CC" w:rsidR="00A0576D" w:rsidRDefault="00A0576D">
      <w:pPr>
        <w:rPr>
          <w:rFonts w:ascii="Calibri" w:hAnsi="Calibri" w:cs="Calibri"/>
          <w:b/>
          <w:bCs/>
        </w:rPr>
      </w:pPr>
      <w:r w:rsidRPr="00A0576D">
        <w:rPr>
          <w:rFonts w:ascii="Calibri" w:hAnsi="Calibri" w:cs="Calibri"/>
          <w:b/>
          <w:bCs/>
        </w:rPr>
        <w:t>IASLC Lung Cancer Staging Update and Future Perspective</w:t>
      </w:r>
    </w:p>
    <w:p w14:paraId="64CC5F69" w14:textId="77777777" w:rsidR="00A0576D" w:rsidRPr="00A0576D" w:rsidRDefault="00A0576D" w:rsidP="00A0576D">
      <w:pPr>
        <w:rPr>
          <w:rFonts w:ascii="Calibri" w:hAnsi="Calibri" w:cs="Calibri"/>
        </w:rPr>
      </w:pPr>
      <w:r w:rsidRPr="00A0576D">
        <w:rPr>
          <w:rFonts w:ascii="Calibri" w:hAnsi="Calibri" w:cs="Calibri"/>
        </w:rPr>
        <w:lastRenderedPageBreak/>
        <w:tab/>
        <w:t>The International Association for the Study of Lung Cancer (IASLC) staging system is undergoing evolution with the introduction of the 9th edition TNM classification in 2024. This edition presents substantial enhancements derived from an analysis of approximately 124,000 cases across various geographical locations, while preserving alignment with prior classifications.</w:t>
      </w:r>
    </w:p>
    <w:p w14:paraId="0F753D7A" w14:textId="77777777" w:rsidR="00A0576D" w:rsidRPr="00A0576D" w:rsidRDefault="00A0576D" w:rsidP="00A0576D">
      <w:pPr>
        <w:rPr>
          <w:rFonts w:ascii="Calibri" w:hAnsi="Calibri" w:cs="Calibri"/>
        </w:rPr>
      </w:pPr>
      <w:r w:rsidRPr="00A0576D">
        <w:rPr>
          <w:rFonts w:ascii="Calibri" w:hAnsi="Calibri" w:cs="Calibri"/>
        </w:rPr>
        <w:tab/>
        <w:t xml:space="preserve">The principal modifications in the 9th edition encompass the categorization of N2 into N2a (single station) and N2b (multiple stations), signifying their unique prognostic implications, as well as the separation of M1c into M1c1 (multiple </w:t>
      </w:r>
      <w:proofErr w:type="spellStart"/>
      <w:r w:rsidRPr="00A0576D">
        <w:rPr>
          <w:rFonts w:ascii="Calibri" w:hAnsi="Calibri" w:cs="Calibri"/>
        </w:rPr>
        <w:t>extrathoracic</w:t>
      </w:r>
      <w:proofErr w:type="spellEnd"/>
      <w:r w:rsidRPr="00A0576D">
        <w:rPr>
          <w:rFonts w:ascii="Calibri" w:hAnsi="Calibri" w:cs="Calibri"/>
        </w:rPr>
        <w:t xml:space="preserve"> metastases within a single organ system) and M1c2 (multiple </w:t>
      </w:r>
      <w:proofErr w:type="spellStart"/>
      <w:r w:rsidRPr="00A0576D">
        <w:rPr>
          <w:rFonts w:ascii="Calibri" w:hAnsi="Calibri" w:cs="Calibri"/>
        </w:rPr>
        <w:t>extrathoracic</w:t>
      </w:r>
      <w:proofErr w:type="spellEnd"/>
      <w:r w:rsidRPr="00A0576D">
        <w:rPr>
          <w:rFonts w:ascii="Calibri" w:hAnsi="Calibri" w:cs="Calibri"/>
        </w:rPr>
        <w:t xml:space="preserve"> metastases across multiple organ systems). These modifications are complemented by revisions to stage grouping, including the reclassification of T1N1 from IIB to IIA and the shift of T1N2a to stage IIB.</w:t>
      </w:r>
    </w:p>
    <w:p w14:paraId="1FC42E3D" w14:textId="77777777" w:rsidR="00A0576D" w:rsidRPr="00A0576D" w:rsidRDefault="00A0576D" w:rsidP="00A0576D">
      <w:pPr>
        <w:rPr>
          <w:rFonts w:ascii="Calibri" w:hAnsi="Calibri" w:cs="Calibri"/>
        </w:rPr>
      </w:pPr>
      <w:r w:rsidRPr="00A0576D">
        <w:rPr>
          <w:rFonts w:ascii="Calibri" w:hAnsi="Calibri" w:cs="Calibri"/>
        </w:rPr>
        <w:tab/>
        <w:t>The IASLC staging project is assessing prospects for integrating modern diagnostic and treatment advancements into next editions. This encompasses the evaluation of contemporary imaging modalities, innovative therapy strategies, and uniform protocols for global data acquisition and processing.</w:t>
      </w:r>
    </w:p>
    <w:p w14:paraId="00088A51" w14:textId="442EA77C" w:rsidR="00A0576D" w:rsidRPr="00A0576D" w:rsidRDefault="00A0576D" w:rsidP="00A0576D">
      <w:pPr>
        <w:rPr>
          <w:rFonts w:ascii="Calibri" w:hAnsi="Calibri" w:cs="Calibri"/>
        </w:rPr>
      </w:pPr>
      <w:r w:rsidRPr="00A0576D">
        <w:rPr>
          <w:rFonts w:ascii="Calibri" w:hAnsi="Calibri" w:cs="Calibri"/>
        </w:rPr>
        <w:t>This presentation will examine the practical implications of the 9th edition modifications for clinical practice and explore how continuous advancements in lung cancer staging seek to improve predictive precision and inform treatment choices in an evolving therapeutic environment.</w:t>
      </w:r>
    </w:p>
    <w:p w14:paraId="2D8F4C72" w14:textId="78528C5B" w:rsidR="00A0576D" w:rsidRDefault="00A0576D">
      <w:pPr>
        <w:rPr>
          <w:rFonts w:ascii="Calibri" w:hAnsi="Calibri" w:cs="Calibri"/>
        </w:rPr>
      </w:pPr>
      <w:r w:rsidRPr="00A0576D">
        <w:rPr>
          <w:rFonts w:ascii="Calibri" w:hAnsi="Calibri" w:cs="Calibri"/>
        </w:rPr>
        <w:t xml:space="preserve">Plenary Lecture: </w:t>
      </w:r>
      <w:r w:rsidRPr="00A0576D">
        <w:rPr>
          <w:rFonts w:ascii="Calibri" w:hAnsi="Calibri" w:cs="Calibri"/>
          <w:b/>
          <w:bCs/>
        </w:rPr>
        <w:t>Treatment of stage I-III NSCLC</w:t>
      </w:r>
    </w:p>
    <w:p w14:paraId="7C1D68EC" w14:textId="77777777" w:rsidR="00A0576D" w:rsidRPr="00A0576D" w:rsidRDefault="00A0576D" w:rsidP="00A0576D">
      <w:pPr>
        <w:rPr>
          <w:rFonts w:ascii="Calibri" w:hAnsi="Calibri" w:cs="Calibri"/>
        </w:rPr>
      </w:pPr>
      <w:r w:rsidRPr="00A0576D">
        <w:rPr>
          <w:rFonts w:ascii="Calibri" w:hAnsi="Calibri" w:cs="Calibri"/>
        </w:rPr>
        <w:t xml:space="preserve">Treatment of stage I-III NSCLC continues to evolve rapidly.  Discussion of each patient with a multidisciplinary team, ideally in the context of a tumor board remains critical to determine an optimal care plan prior to initiation of therapy.  </w:t>
      </w:r>
    </w:p>
    <w:p w14:paraId="0F4F329A" w14:textId="0AAD532A" w:rsidR="00A0576D" w:rsidRPr="00A0576D" w:rsidRDefault="00A0576D" w:rsidP="00A0576D">
      <w:pPr>
        <w:rPr>
          <w:rFonts w:ascii="Calibri" w:hAnsi="Calibri" w:cs="Calibri"/>
        </w:rPr>
      </w:pPr>
      <w:r w:rsidRPr="00A0576D">
        <w:rPr>
          <w:rFonts w:ascii="Calibri" w:hAnsi="Calibri" w:cs="Calibri"/>
        </w:rPr>
        <w:t xml:space="preserve">PACIFIC (Antonia NEJM 2018) established a role for ICI durvalumab as consolidation after concurrent chemotherapy-radiation in locally advanced NSCLC with a positive OS benefit.  Subsequently positive neo-adjuvant trials including the phase III </w:t>
      </w:r>
      <w:proofErr w:type="gramStart"/>
      <w:r w:rsidRPr="00A0576D">
        <w:rPr>
          <w:rFonts w:ascii="Calibri" w:hAnsi="Calibri" w:cs="Calibri"/>
        </w:rPr>
        <w:t>Checkmate(</w:t>
      </w:r>
      <w:proofErr w:type="gramEnd"/>
      <w:r w:rsidRPr="00A0576D">
        <w:rPr>
          <w:rFonts w:ascii="Calibri" w:hAnsi="Calibri" w:cs="Calibri"/>
        </w:rPr>
        <w:t xml:space="preserve">CM)816 (Forde NEJM 2022) demonstrated that ICI in early-stage NSCLC with the addition of nivolumab to 3 cycles of pre-operative (neo-adjuvant) chemotherapy was also beneficial with improved event free survival (EFS).  The pure post-operative adjuvant trials Impower010 (IMp010) with atezolizumab (Felip </w:t>
      </w:r>
      <w:r w:rsidRPr="00A0576D">
        <w:rPr>
          <w:rFonts w:ascii="Calibri" w:hAnsi="Calibri" w:cs="Calibri"/>
        </w:rPr>
        <w:lastRenderedPageBreak/>
        <w:t xml:space="preserve">Lancet     2021) and Keynote091 (KN091) with pembrolizumab (O’Brien Lancet Oncol 2022) demonstrated a significant </w:t>
      </w:r>
      <w:proofErr w:type="gramStart"/>
      <w:r w:rsidRPr="00A0576D">
        <w:rPr>
          <w:rFonts w:ascii="Calibri" w:hAnsi="Calibri" w:cs="Calibri"/>
        </w:rPr>
        <w:t>disease free</w:t>
      </w:r>
      <w:proofErr w:type="gramEnd"/>
      <w:r w:rsidRPr="00A0576D">
        <w:rPr>
          <w:rFonts w:ascii="Calibri" w:hAnsi="Calibri" w:cs="Calibri"/>
        </w:rPr>
        <w:t xml:space="preserve"> survival (DFS) benefit with ICI given after surgery and chemotherapy, though more recently the BR31 adjuvant trial of durvalumab (Goss ESMO 2024) was surprisingly negative.  The peri-operative trials combining both neo-adjuvant and adjuvant IO treatment (KN671, Wakelee ASCO/NEJM 2023; AEGEAN, </w:t>
      </w:r>
      <w:proofErr w:type="spellStart"/>
      <w:r w:rsidRPr="00A0576D">
        <w:rPr>
          <w:rFonts w:ascii="Calibri" w:hAnsi="Calibri" w:cs="Calibri"/>
        </w:rPr>
        <w:t>Heymach</w:t>
      </w:r>
      <w:proofErr w:type="spellEnd"/>
      <w:r w:rsidRPr="00A0576D">
        <w:rPr>
          <w:rFonts w:ascii="Calibri" w:hAnsi="Calibri" w:cs="Calibri"/>
        </w:rPr>
        <w:t xml:space="preserve"> AACR/NEJM 2023; </w:t>
      </w:r>
      <w:proofErr w:type="spellStart"/>
      <w:r w:rsidRPr="00A0576D">
        <w:rPr>
          <w:rFonts w:ascii="Calibri" w:hAnsi="Calibri" w:cs="Calibri"/>
        </w:rPr>
        <w:t>NeoCoast</w:t>
      </w:r>
      <w:proofErr w:type="spellEnd"/>
      <w:r w:rsidRPr="00A0576D">
        <w:rPr>
          <w:rFonts w:ascii="Calibri" w:hAnsi="Calibri" w:cs="Calibri"/>
        </w:rPr>
        <w:t>, Lu ASCO 2023; CM77T, Cascone ESMO 2023; and RATIONALE315 Yue ESMO 2023) were positive with pathologic complete response rate (</w:t>
      </w:r>
      <w:proofErr w:type="spellStart"/>
      <w:r w:rsidRPr="00A0576D">
        <w:rPr>
          <w:rFonts w:ascii="Calibri" w:hAnsi="Calibri" w:cs="Calibri"/>
        </w:rPr>
        <w:t>pCR</w:t>
      </w:r>
      <w:proofErr w:type="spellEnd"/>
      <w:r w:rsidRPr="00A0576D">
        <w:rPr>
          <w:rFonts w:ascii="Calibri" w:hAnsi="Calibri" w:cs="Calibri"/>
        </w:rPr>
        <w:t xml:space="preserve">) and EFS benefit reported in all and statistically significant OS in KN671. </w:t>
      </w:r>
      <w:proofErr w:type="gramStart"/>
      <w:r w:rsidRPr="00A0576D">
        <w:rPr>
          <w:rFonts w:ascii="Calibri" w:hAnsi="Calibri" w:cs="Calibri"/>
        </w:rPr>
        <w:t>Thus</w:t>
      </w:r>
      <w:proofErr w:type="gramEnd"/>
      <w:r w:rsidRPr="00A0576D">
        <w:rPr>
          <w:rFonts w:ascii="Calibri" w:hAnsi="Calibri" w:cs="Calibri"/>
        </w:rPr>
        <w:t xml:space="preserve"> the role of ICI in the peri-operative setting for early-stage NSCLC has been firmly established, except when specific driver mutations are identified in the tumor.  PD-L1 levels also correlate with outcomes in most of the trials.  </w:t>
      </w:r>
    </w:p>
    <w:p w14:paraId="6C550400" w14:textId="77777777" w:rsidR="00A0576D" w:rsidRPr="00A0576D" w:rsidRDefault="00A0576D" w:rsidP="00A0576D">
      <w:pPr>
        <w:rPr>
          <w:rFonts w:ascii="Calibri" w:hAnsi="Calibri" w:cs="Calibri"/>
        </w:rPr>
      </w:pPr>
      <w:r w:rsidRPr="00A0576D">
        <w:rPr>
          <w:rFonts w:ascii="Calibri" w:hAnsi="Calibri" w:cs="Calibri"/>
        </w:rPr>
        <w:t xml:space="preserve">Regardless of local therapy decision (surgery or radiation) the team should have molecular analysis of the tumor completed, to include at a minimum EGFR and ALK, prior to initiation of any immune checkpoint inhibitor (ICI).  Many surgical trials of ICI have excluded these patient subsets, but those that did not have tended to show worse outcomes for patients with tumors with these alterations, and we now have targeted adjuvant therapy as superior options with </w:t>
      </w:r>
      <w:proofErr w:type="spellStart"/>
      <w:r w:rsidRPr="00A0576D">
        <w:rPr>
          <w:rFonts w:ascii="Calibri" w:hAnsi="Calibri" w:cs="Calibri"/>
        </w:rPr>
        <w:t>osimertinib</w:t>
      </w:r>
      <w:proofErr w:type="spellEnd"/>
      <w:r w:rsidRPr="00A0576D">
        <w:rPr>
          <w:rFonts w:ascii="Calibri" w:hAnsi="Calibri" w:cs="Calibri"/>
        </w:rPr>
        <w:t xml:space="preserve"> in the setting of </w:t>
      </w:r>
      <w:proofErr w:type="spellStart"/>
      <w:r w:rsidRPr="00A0576D">
        <w:rPr>
          <w:rFonts w:ascii="Calibri" w:hAnsi="Calibri" w:cs="Calibri"/>
        </w:rPr>
        <w:t>EGFRmut</w:t>
      </w:r>
      <w:proofErr w:type="spellEnd"/>
      <w:r w:rsidRPr="00A0576D">
        <w:rPr>
          <w:rFonts w:ascii="Calibri" w:hAnsi="Calibri" w:cs="Calibri"/>
        </w:rPr>
        <w:t xml:space="preserve"> based on the ADAURA trial (Tsuboi NEJM 2023), and </w:t>
      </w:r>
      <w:proofErr w:type="spellStart"/>
      <w:r w:rsidRPr="00A0576D">
        <w:rPr>
          <w:rFonts w:ascii="Calibri" w:hAnsi="Calibri" w:cs="Calibri"/>
        </w:rPr>
        <w:t>alectinib</w:t>
      </w:r>
      <w:proofErr w:type="spellEnd"/>
      <w:r w:rsidRPr="00A0576D">
        <w:rPr>
          <w:rFonts w:ascii="Calibri" w:hAnsi="Calibri" w:cs="Calibri"/>
        </w:rPr>
        <w:t xml:space="preserve"> in the setting of ALK+ based on the ALINA trial (Wu NEJM 2024).  For locally advanced NSCLC patients undergoing chemotherapy/radiation, consolidation with </w:t>
      </w:r>
      <w:proofErr w:type="spellStart"/>
      <w:r w:rsidRPr="00A0576D">
        <w:rPr>
          <w:rFonts w:ascii="Calibri" w:hAnsi="Calibri" w:cs="Calibri"/>
        </w:rPr>
        <w:t>osimertinib</w:t>
      </w:r>
      <w:proofErr w:type="spellEnd"/>
      <w:r w:rsidRPr="00A0576D">
        <w:rPr>
          <w:rFonts w:ascii="Calibri" w:hAnsi="Calibri" w:cs="Calibri"/>
        </w:rPr>
        <w:t xml:space="preserve"> is the superior option based on LAURA (Lu NEJM 2024).  Patients with tumors with other molecular drivers have not been evaluated, but in general, the driver mutations linked with minimal benefit from ICI in the metastatic setting are predicted to have limited benefit from ICI in the early stage and locally advanced setting as well.</w:t>
      </w:r>
    </w:p>
    <w:p w14:paraId="3C59E711" w14:textId="14876DD6" w:rsidR="00A0576D" w:rsidRPr="00A0576D" w:rsidRDefault="00A0576D" w:rsidP="00A0576D">
      <w:pPr>
        <w:rPr>
          <w:rFonts w:ascii="Calibri" w:hAnsi="Calibri" w:cs="Calibri"/>
        </w:rPr>
      </w:pPr>
      <w:r w:rsidRPr="00A0576D">
        <w:rPr>
          <w:rFonts w:ascii="Calibri" w:hAnsi="Calibri" w:cs="Calibri"/>
        </w:rPr>
        <w:t xml:space="preserve">      The decision on the need for additional ICI after resection remains a hot topic of debate. Novel treatments are under investigation to further improve outcomes.</w:t>
      </w:r>
    </w:p>
    <w:p w14:paraId="4516AB30" w14:textId="2A8D6BB5" w:rsidR="00A0576D" w:rsidRPr="00A0576D" w:rsidRDefault="00A0576D">
      <w:pPr>
        <w:rPr>
          <w:rFonts w:ascii="Calibri" w:hAnsi="Calibri" w:cs="Calibri"/>
        </w:rPr>
      </w:pPr>
      <w:r w:rsidRPr="00A0576D">
        <w:rPr>
          <w:rFonts w:ascii="Calibri" w:hAnsi="Calibri" w:cs="Calibri"/>
        </w:rPr>
        <w:t>Stage III/IV NSCLC looking forward to long term control</w:t>
      </w:r>
    </w:p>
    <w:sectPr w:rsidR="00A0576D" w:rsidRPr="00A0576D">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76D"/>
    <w:rsid w:val="00261BF8"/>
    <w:rsid w:val="002F51D4"/>
    <w:rsid w:val="0036393B"/>
    <w:rsid w:val="00A0576D"/>
    <w:rsid w:val="00D7097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21225"/>
  <w15:chartTrackingRefBased/>
  <w15:docId w15:val="{291F4AD5-8A66-47B5-B42E-D09AED9D7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A0576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A0576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A0576D"/>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A0576D"/>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A0576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0576D"/>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A0576D"/>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0576D"/>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A0576D"/>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A0576D"/>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A0576D"/>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A0576D"/>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A0576D"/>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A0576D"/>
    <w:rPr>
      <w:rFonts w:eastAsiaTheme="majorEastAsia" w:cstheme="majorBidi"/>
      <w:color w:val="0F4761" w:themeColor="accent1" w:themeShade="BF"/>
    </w:rPr>
  </w:style>
  <w:style w:type="character" w:customStyle="1" w:styleId="60">
    <w:name w:val="標題 6 字元"/>
    <w:basedOn w:val="a0"/>
    <w:link w:val="6"/>
    <w:uiPriority w:val="9"/>
    <w:semiHidden/>
    <w:rsid w:val="00A0576D"/>
    <w:rPr>
      <w:rFonts w:eastAsiaTheme="majorEastAsia" w:cstheme="majorBidi"/>
      <w:color w:val="595959" w:themeColor="text1" w:themeTint="A6"/>
    </w:rPr>
  </w:style>
  <w:style w:type="character" w:customStyle="1" w:styleId="70">
    <w:name w:val="標題 7 字元"/>
    <w:basedOn w:val="a0"/>
    <w:link w:val="7"/>
    <w:uiPriority w:val="9"/>
    <w:semiHidden/>
    <w:rsid w:val="00A0576D"/>
    <w:rPr>
      <w:rFonts w:eastAsiaTheme="majorEastAsia" w:cstheme="majorBidi"/>
      <w:color w:val="595959" w:themeColor="text1" w:themeTint="A6"/>
    </w:rPr>
  </w:style>
  <w:style w:type="character" w:customStyle="1" w:styleId="80">
    <w:name w:val="標題 8 字元"/>
    <w:basedOn w:val="a0"/>
    <w:link w:val="8"/>
    <w:uiPriority w:val="9"/>
    <w:semiHidden/>
    <w:rsid w:val="00A0576D"/>
    <w:rPr>
      <w:rFonts w:eastAsiaTheme="majorEastAsia" w:cstheme="majorBidi"/>
      <w:color w:val="272727" w:themeColor="text1" w:themeTint="D8"/>
    </w:rPr>
  </w:style>
  <w:style w:type="character" w:customStyle="1" w:styleId="90">
    <w:name w:val="標題 9 字元"/>
    <w:basedOn w:val="a0"/>
    <w:link w:val="9"/>
    <w:uiPriority w:val="9"/>
    <w:semiHidden/>
    <w:rsid w:val="00A0576D"/>
    <w:rPr>
      <w:rFonts w:eastAsiaTheme="majorEastAsia" w:cstheme="majorBidi"/>
      <w:color w:val="272727" w:themeColor="text1" w:themeTint="D8"/>
    </w:rPr>
  </w:style>
  <w:style w:type="paragraph" w:styleId="a3">
    <w:name w:val="Title"/>
    <w:basedOn w:val="a"/>
    <w:next w:val="a"/>
    <w:link w:val="a4"/>
    <w:uiPriority w:val="10"/>
    <w:qFormat/>
    <w:rsid w:val="00A0576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A0576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0576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A0576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0576D"/>
    <w:pPr>
      <w:spacing w:before="160"/>
      <w:jc w:val="center"/>
    </w:pPr>
    <w:rPr>
      <w:i/>
      <w:iCs/>
      <w:color w:val="404040" w:themeColor="text1" w:themeTint="BF"/>
    </w:rPr>
  </w:style>
  <w:style w:type="character" w:customStyle="1" w:styleId="a8">
    <w:name w:val="引文 字元"/>
    <w:basedOn w:val="a0"/>
    <w:link w:val="a7"/>
    <w:uiPriority w:val="29"/>
    <w:rsid w:val="00A0576D"/>
    <w:rPr>
      <w:i/>
      <w:iCs/>
      <w:color w:val="404040" w:themeColor="text1" w:themeTint="BF"/>
    </w:rPr>
  </w:style>
  <w:style w:type="paragraph" w:styleId="a9">
    <w:name w:val="List Paragraph"/>
    <w:basedOn w:val="a"/>
    <w:uiPriority w:val="34"/>
    <w:qFormat/>
    <w:rsid w:val="00A0576D"/>
    <w:pPr>
      <w:ind w:left="720"/>
      <w:contextualSpacing/>
    </w:pPr>
  </w:style>
  <w:style w:type="character" w:styleId="aa">
    <w:name w:val="Intense Emphasis"/>
    <w:basedOn w:val="a0"/>
    <w:uiPriority w:val="21"/>
    <w:qFormat/>
    <w:rsid w:val="00A0576D"/>
    <w:rPr>
      <w:i/>
      <w:iCs/>
      <w:color w:val="0F4761" w:themeColor="accent1" w:themeShade="BF"/>
    </w:rPr>
  </w:style>
  <w:style w:type="paragraph" w:styleId="ab">
    <w:name w:val="Intense Quote"/>
    <w:basedOn w:val="a"/>
    <w:next w:val="a"/>
    <w:link w:val="ac"/>
    <w:uiPriority w:val="30"/>
    <w:qFormat/>
    <w:rsid w:val="00A0576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A0576D"/>
    <w:rPr>
      <w:i/>
      <w:iCs/>
      <w:color w:val="0F4761" w:themeColor="accent1" w:themeShade="BF"/>
    </w:rPr>
  </w:style>
  <w:style w:type="character" w:styleId="ad">
    <w:name w:val="Intense Reference"/>
    <w:basedOn w:val="a0"/>
    <w:uiPriority w:val="32"/>
    <w:qFormat/>
    <w:rsid w:val="00A0576D"/>
    <w:rPr>
      <w:b/>
      <w:bCs/>
      <w:smallCaps/>
      <w:color w:val="0F4761" w:themeColor="accent1" w:themeShade="BF"/>
      <w:spacing w:val="5"/>
    </w:rPr>
  </w:style>
  <w:style w:type="paragraph" w:styleId="Web">
    <w:name w:val="Normal (Web)"/>
    <w:basedOn w:val="a"/>
    <w:uiPriority w:val="99"/>
    <w:semiHidden/>
    <w:unhideWhenUsed/>
    <w:rsid w:val="00A0576D"/>
    <w:pPr>
      <w:widowControl/>
      <w:spacing w:before="100" w:beforeAutospacing="1" w:after="100" w:afterAutospacing="1" w:line="240" w:lineRule="auto"/>
    </w:pPr>
    <w:rPr>
      <w:rFonts w:ascii="Times New Roman" w:eastAsia="Times New Roman" w:hAnsi="Times New Roman" w:cs="Times New Roman"/>
      <w:kern w:val="0"/>
      <w:lang w:val="fr-CH" w:eastAsia="fr-CH"/>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1357</Words>
  <Characters>7739</Characters>
  <Application>Microsoft Office Word</Application>
  <DocSecurity>0</DocSecurity>
  <Lines>64</Lines>
  <Paragraphs>18</Paragraphs>
  <ScaleCrop>false</ScaleCrop>
  <Company/>
  <LinksUpToDate>false</LinksUpToDate>
  <CharactersWithSpaces>9078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晨瑜 台灣肺癌研究學會</dc:creator>
  <cp:keywords/>
  <dc:description/>
  <cp:lastModifiedBy>晨瑜 台灣肺癌研究學會</cp:lastModifiedBy>
  <cp:revision>1</cp:revision>
  <dcterms:created xsi:type="dcterms:W3CDTF">2024-12-06T05:52:00Z</dcterms:created>
  <dcterms:modified xsi:type="dcterms:W3CDTF">2024-12-06T05:58:00Z</dcterms:modified>
</cp:coreProperties>
</file>