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EFF7D" w14:textId="325D4105" w:rsidR="006663EC" w:rsidRPr="006663EC" w:rsidRDefault="006663EC" w:rsidP="006663EC">
      <w:pPr>
        <w:rPr>
          <w:rFonts w:ascii="Arial" w:eastAsia="Arial" w:hAnsi="Arial" w:cs="Arial"/>
          <w:color w:val="222222"/>
        </w:rPr>
      </w:pPr>
      <w:r w:rsidRPr="006663EC">
        <w:rPr>
          <w:rFonts w:ascii="Arial" w:eastAsia="Arial" w:hAnsi="Arial" w:cs="Arial"/>
          <w:color w:val="222222"/>
        </w:rPr>
        <w:t xml:space="preserve">Markus </w:t>
      </w:r>
      <w:proofErr w:type="spellStart"/>
      <w:r w:rsidRPr="006663EC">
        <w:rPr>
          <w:rFonts w:ascii="Arial" w:eastAsia="Arial" w:hAnsi="Arial" w:cs="Arial"/>
          <w:color w:val="222222"/>
        </w:rPr>
        <w:t>Rinschen</w:t>
      </w:r>
      <w:proofErr w:type="spellEnd"/>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648"/>
      </w:tblGrid>
      <w:tr w:rsidR="006663EC" w:rsidRPr="006663EC" w14:paraId="6AD1E521" w14:textId="77777777" w:rsidTr="000313DD">
        <w:tc>
          <w:tcPr>
            <w:tcW w:w="9628" w:type="dxa"/>
            <w:gridSpan w:val="2"/>
            <w:vAlign w:val="center"/>
          </w:tcPr>
          <w:p w14:paraId="54AC2345" w14:textId="77777777" w:rsidR="006663EC" w:rsidRPr="006663EC" w:rsidRDefault="006663EC" w:rsidP="006663EC">
            <w:pPr>
              <w:spacing w:line="240" w:lineRule="auto"/>
              <w:rPr>
                <w:b/>
                <w:shd w:val="clear" w:color="auto" w:fill="D9D9D9"/>
              </w:rPr>
            </w:pPr>
            <w:r w:rsidRPr="006663EC">
              <w:rPr>
                <w:b/>
                <w:sz w:val="24"/>
                <w:szCs w:val="24"/>
                <w:shd w:val="clear" w:color="auto" w:fill="D9D9D9"/>
              </w:rPr>
              <w:t>LECTURE INFORMATION</w:t>
            </w:r>
          </w:p>
        </w:tc>
      </w:tr>
      <w:tr w:rsidR="006663EC" w:rsidRPr="006663EC" w14:paraId="73A74B7F" w14:textId="77777777" w:rsidTr="000313DD">
        <w:trPr>
          <w:trHeight w:val="762"/>
        </w:trPr>
        <w:tc>
          <w:tcPr>
            <w:tcW w:w="1980" w:type="dxa"/>
            <w:vAlign w:val="center"/>
          </w:tcPr>
          <w:p w14:paraId="115025BE" w14:textId="77777777" w:rsidR="006663EC" w:rsidRPr="006663EC" w:rsidRDefault="006663EC" w:rsidP="006663EC">
            <w:pPr>
              <w:spacing w:line="240" w:lineRule="auto"/>
              <w:rPr>
                <w:b/>
              </w:rPr>
            </w:pPr>
            <w:r w:rsidRPr="006663EC">
              <w:rPr>
                <w:b/>
              </w:rPr>
              <w:t>TITLE</w:t>
            </w:r>
          </w:p>
        </w:tc>
        <w:tc>
          <w:tcPr>
            <w:tcW w:w="7648" w:type="dxa"/>
            <w:vAlign w:val="center"/>
          </w:tcPr>
          <w:p w14:paraId="4AC49C26" w14:textId="77777777" w:rsidR="006663EC" w:rsidRPr="006663EC" w:rsidRDefault="006663EC" w:rsidP="006663EC">
            <w:pPr>
              <w:spacing w:line="240" w:lineRule="auto"/>
              <w:rPr>
                <w:b/>
              </w:rPr>
            </w:pPr>
            <w:r w:rsidRPr="006663EC">
              <w:rPr>
                <w:b/>
              </w:rPr>
              <w:t>Metabolic communication by SGLT2 inhibition</w:t>
            </w:r>
          </w:p>
        </w:tc>
      </w:tr>
      <w:tr w:rsidR="006663EC" w:rsidRPr="006663EC" w14:paraId="5D245A06" w14:textId="77777777" w:rsidTr="000313DD">
        <w:trPr>
          <w:trHeight w:val="3078"/>
        </w:trPr>
        <w:tc>
          <w:tcPr>
            <w:tcW w:w="1980" w:type="dxa"/>
            <w:vAlign w:val="center"/>
          </w:tcPr>
          <w:p w14:paraId="74084457" w14:textId="77777777" w:rsidR="006663EC" w:rsidRPr="006663EC" w:rsidRDefault="006663EC" w:rsidP="006663EC">
            <w:pPr>
              <w:spacing w:line="240" w:lineRule="auto"/>
              <w:rPr>
                <w:b/>
              </w:rPr>
            </w:pPr>
            <w:r w:rsidRPr="006663EC">
              <w:rPr>
                <w:b/>
              </w:rPr>
              <w:t xml:space="preserve">ABSTRACT </w:t>
            </w:r>
            <w:r w:rsidRPr="006663EC">
              <w:rPr>
                <w:b/>
              </w:rPr>
              <w:br/>
            </w:r>
            <w:r w:rsidRPr="006663EC">
              <w:rPr>
                <w:i/>
                <w:sz w:val="20"/>
                <w:szCs w:val="20"/>
              </w:rPr>
              <w:t>(300 words)</w:t>
            </w:r>
          </w:p>
        </w:tc>
        <w:tc>
          <w:tcPr>
            <w:tcW w:w="7648" w:type="dxa"/>
            <w:vAlign w:val="center"/>
          </w:tcPr>
          <w:p w14:paraId="3EEB1F80" w14:textId="11A9B5D5" w:rsidR="006663EC" w:rsidRPr="006663EC" w:rsidRDefault="006663EC" w:rsidP="006663EC">
            <w:pPr>
              <w:spacing w:line="240" w:lineRule="auto"/>
              <w:jc w:val="both"/>
              <w:rPr>
                <w:rFonts w:ascii="Arial" w:hAnsi="Arial" w:cs="Arial"/>
                <w:sz w:val="16"/>
                <w:szCs w:val="16"/>
              </w:rPr>
            </w:pPr>
            <w:r w:rsidRPr="006663EC">
              <w:rPr>
                <w:rFonts w:ascii="Arial" w:hAnsi="Arial" w:cs="Arial"/>
                <w:sz w:val="16"/>
                <w:szCs w:val="16"/>
              </w:rPr>
              <w:t xml:space="preserve">SGLT2 inhibitors (SGLT2i) can protect the kidneys and heart, but the underlying mechanism remains poorly understood. Previous studies have only analyzed individual organs, and the late-stage pathology potentially reflected tissue remodeling secondary to metabolic benefits. Here, we performed an in-depth proteomics, </w:t>
            </w:r>
            <w:proofErr w:type="spellStart"/>
            <w:r w:rsidRPr="006663EC">
              <w:rPr>
                <w:rFonts w:ascii="Arial" w:hAnsi="Arial" w:cs="Arial"/>
                <w:sz w:val="16"/>
                <w:szCs w:val="16"/>
              </w:rPr>
              <w:t>phosphoproteomics</w:t>
            </w:r>
            <w:proofErr w:type="spellEnd"/>
            <w:r w:rsidRPr="006663EC">
              <w:rPr>
                <w:rFonts w:ascii="Arial" w:hAnsi="Arial" w:cs="Arial"/>
                <w:sz w:val="16"/>
                <w:szCs w:val="16"/>
              </w:rPr>
              <w:t xml:space="preserve">, and metabolomics analysis after one week of SGLT2i treatment of non-diabetic as well as early diabetic mice, by integrating signatures from multiple metabolic organs and body fluids. Kidneys of non-diabetic mice react strongest and most significantly to SGLT2i in terms of metabolic signaling and transporter reconfiguration, including downregulation of early proximal tubule glucotoxicity and apical uptake transport machinery (sodium, glucose, urate, purine bases, and amino acids), and an increase in detoxifying apical transporters. While the SGLT2i affected heart and liver signaling, more reactive organs included the white adipose tissue, showing more lipolysis, and, particularly, the gut microbiome with a lower relative abundance of bacteria taxa capable of fermenting phenylalanine and tryptophan to cardiovascular (so-called uremic) toxins. This change in the microbiome proteome was associated with lower plasma levels of these compounds (incl. p-cresol sulfate) and presumably secondary, downregulation of organic anion transporters mediating their basolateral uptake into proximal tubules. The SGLT2i was detectable in murine stool samples and its addition to human stool microbiota fermentation recapitulated some murine microbiome findings, suggesting direct inhibition of fermentation of aromatic amino acids and tryptophan. In mice lacking SGLT2 and in patients with decompensated heart failure or diabetes, the SGLT2i likewise reduced circulating p-cresol sulfate, and p-cresol impaired contractility and rhythm in human engineered heart tissue. In conclusion, metabolic communication by the SGLT2i reduced circulating waste products like p-cresol sulfate and thereby the need for renal detoxification, which combined with less proximal tubule glucotoxicity and a broad downregulation of apical transport activity provides a </w:t>
            </w:r>
            <w:bookmarkStart w:id="0" w:name="_Hlk123578207"/>
            <w:r w:rsidRPr="006663EC">
              <w:rPr>
                <w:rFonts w:ascii="Arial" w:hAnsi="Arial" w:cs="Arial"/>
                <w:sz w:val="16"/>
                <w:szCs w:val="16"/>
              </w:rPr>
              <w:t>metabolic explanation for kidney and cardiovascular protection</w:t>
            </w:r>
            <w:bookmarkEnd w:id="0"/>
            <w:r w:rsidRPr="006663EC">
              <w:rPr>
                <w:rFonts w:ascii="Arial" w:hAnsi="Arial" w:cs="Arial"/>
                <w:sz w:val="16"/>
                <w:szCs w:val="16"/>
              </w:rPr>
              <w:t xml:space="preserve">. </w:t>
            </w:r>
          </w:p>
        </w:tc>
      </w:tr>
    </w:tbl>
    <w:p w14:paraId="40B7D361" w14:textId="77777777" w:rsidR="008970E3" w:rsidRPr="006663EC" w:rsidRDefault="008970E3" w:rsidP="006663EC">
      <w:pPr>
        <w:spacing w:line="240" w:lineRule="auto"/>
        <w:rPr>
          <w:sz w:val="18"/>
          <w:szCs w:val="18"/>
        </w:rPr>
      </w:pPr>
    </w:p>
    <w:sectPr w:rsidR="008970E3" w:rsidRPr="006663E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3EC"/>
    <w:rsid w:val="006663EC"/>
    <w:rsid w:val="008970E3"/>
    <w:rsid w:val="00AC482F"/>
    <w:rsid w:val="00F476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CA4B5"/>
  <w15:chartTrackingRefBased/>
  <w15:docId w15:val="{0EC2626B-F575-4B48-A347-F39D52A2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3EC"/>
    <w:pPr>
      <w:widowControl w:val="0"/>
      <w:spacing w:after="160" w:line="259" w:lineRule="auto"/>
    </w:pPr>
    <w:rPr>
      <w:rFonts w:ascii="Calibri" w:hAnsi="Calibri" w:cs="Calibri"/>
      <w:kern w:val="0"/>
      <w:sz w:val="22"/>
      <w:lang w:eastAsia="da-DK"/>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351</Words>
  <Characters>2007</Characters>
  <Application>Microsoft Office Word</Application>
  <DocSecurity>0</DocSecurity>
  <Lines>16</Lines>
  <Paragraphs>4</Paragraphs>
  <ScaleCrop>false</ScaleCrop>
  <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芳琪 陳</dc:creator>
  <cp:keywords/>
  <dc:description/>
  <cp:lastModifiedBy>芳琪 陳</cp:lastModifiedBy>
  <cp:revision>1</cp:revision>
  <dcterms:created xsi:type="dcterms:W3CDTF">2023-10-03T06:14:00Z</dcterms:created>
  <dcterms:modified xsi:type="dcterms:W3CDTF">2023-10-03T06:15:00Z</dcterms:modified>
</cp:coreProperties>
</file>