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068EF" w14:textId="77777777" w:rsidR="00135511" w:rsidRDefault="007213ED">
      <w:pPr>
        <w:spacing w:after="160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Merck APAC Oncology Summit</w:t>
      </w:r>
    </w:p>
    <w:p w14:paraId="76C665C6" w14:textId="77777777" w:rsidR="00135511" w:rsidRDefault="007213ED">
      <w:pPr>
        <w:spacing w:after="160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Lung cancer outline</w:t>
      </w:r>
    </w:p>
    <w:p w14:paraId="343B4BAD" w14:textId="77777777" w:rsidR="00135511" w:rsidRDefault="00135511"/>
    <w:p w14:paraId="61D2F14E" w14:textId="54695866" w:rsidR="00135511" w:rsidRDefault="007213ED">
      <w:r>
        <w:rPr>
          <w:b/>
          <w:bCs/>
        </w:rPr>
        <w:t xml:space="preserve">Innovation to bridge lung cancer care tomorrow </w:t>
      </w:r>
    </w:p>
    <w:p w14:paraId="748025C8" w14:textId="4675489E" w:rsidR="00135511" w:rsidRDefault="007213ED">
      <w:r>
        <w:rPr>
          <w:b/>
          <w:bCs/>
        </w:rPr>
        <w:t>13:40–14:00 (20 min)</w:t>
      </w:r>
      <w:r w:rsidR="00ED153D">
        <w:rPr>
          <w:b/>
          <w:bCs/>
        </w:rPr>
        <w:t xml:space="preserve"> - </w:t>
      </w:r>
      <w:r w:rsidR="00ED153D" w:rsidRPr="00ED153D">
        <w:rPr>
          <w:b/>
          <w:bCs/>
        </w:rPr>
        <w:t xml:space="preserve">Prof. </w:t>
      </w:r>
      <w:proofErr w:type="spellStart"/>
      <w:r w:rsidR="00ED153D" w:rsidRPr="00ED153D">
        <w:rPr>
          <w:b/>
          <w:bCs/>
        </w:rPr>
        <w:t>Terufumi</w:t>
      </w:r>
      <w:proofErr w:type="spellEnd"/>
      <w:r w:rsidR="00ED153D" w:rsidRPr="00ED153D">
        <w:rPr>
          <w:b/>
          <w:bCs/>
        </w:rPr>
        <w:t xml:space="preserve"> Kato</w:t>
      </w:r>
      <w:r w:rsidR="00ED153D">
        <w:rPr>
          <w:b/>
          <w:bCs/>
        </w:rPr>
        <w:t xml:space="preserve"> (Japan)</w:t>
      </w:r>
    </w:p>
    <w:p w14:paraId="733671CC" w14:textId="77777777" w:rsidR="00135511" w:rsidRDefault="00135511"/>
    <w:p w14:paraId="0850C742" w14:textId="77777777" w:rsidR="00135511" w:rsidRDefault="007213ED">
      <w:pPr>
        <w:rPr>
          <w:b/>
          <w:bCs/>
        </w:rPr>
      </w:pPr>
      <w:r>
        <w:rPr>
          <w:b/>
          <w:bCs/>
        </w:rPr>
        <w:t>Objectives</w:t>
      </w:r>
    </w:p>
    <w:p w14:paraId="70FBE958" w14:textId="77777777" w:rsidR="0014693F" w:rsidRDefault="0014693F"/>
    <w:p w14:paraId="1DF8DBA3" w14:textId="1D3D11F3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Briefly outline the pathophysiology and </w:t>
      </w:r>
      <w:proofErr w:type="spellStart"/>
      <w:r>
        <w:t>aetiology</w:t>
      </w:r>
      <w:proofErr w:type="spellEnd"/>
      <w:r>
        <w:t xml:space="preserve"> of NSCLC  </w:t>
      </w:r>
    </w:p>
    <w:p w14:paraId="6F0EB994" w14:textId="0291BFFA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proofErr w:type="spellStart"/>
      <w:r>
        <w:t>Contextualise</w:t>
      </w:r>
      <w:proofErr w:type="spellEnd"/>
      <w:r>
        <w:t xml:space="preserve"> the unmet clinical need relevant to patients with NSCLC </w:t>
      </w:r>
    </w:p>
    <w:p w14:paraId="22F259E7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Epidemiology, </w:t>
      </w:r>
      <w:proofErr w:type="gramStart"/>
      <w:r>
        <w:t>morbidity</w:t>
      </w:r>
      <w:proofErr w:type="gramEnd"/>
      <w:r>
        <w:t xml:space="preserve"> and mortality rates</w:t>
      </w:r>
    </w:p>
    <w:p w14:paraId="466FC590" w14:textId="0B7B8B42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Outline the current treatment landscape for patients with molecular biomarker positive advanced NSCLC and those with advanced NSCLC without an actionable mutation </w:t>
      </w:r>
    </w:p>
    <w:p w14:paraId="48FB0C90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Molecular biomarker positive: Targeted agents (EGFR/ALK/ROS1/BRAF)</w:t>
      </w:r>
    </w:p>
    <w:p w14:paraId="621DD5B0" w14:textId="6EFA3791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Non-actionable mutations: ICIs  </w:t>
      </w:r>
    </w:p>
    <w:p w14:paraId="2D9BB7ED" w14:textId="3959A8F6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Provide a brief overview of emerging therapeutic targets currently under investigation </w:t>
      </w:r>
    </w:p>
    <w:p w14:paraId="49EBC3A8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NTKR fusions, METex14-skipping mutations, RET gene fusions, </w:t>
      </w:r>
      <w:proofErr w:type="gramStart"/>
      <w:r>
        <w:t>and also</w:t>
      </w:r>
      <w:proofErr w:type="gramEnd"/>
      <w:r>
        <w:t xml:space="preserve"> KRAS G12C and HER2/EGFR exon20 mutations</w:t>
      </w:r>
    </w:p>
    <w:p w14:paraId="74BDE596" w14:textId="2EBC4D56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Update on NCCN guidelines </w:t>
      </w:r>
      <w:r w:rsidR="00ED153D">
        <w:t>2021</w:t>
      </w:r>
      <w:r>
        <w:t xml:space="preserve"> </w:t>
      </w:r>
    </w:p>
    <w:p w14:paraId="341D985D" w14:textId="6E6E3DB4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Provide an overview of targeted therapy for NTKR fusions </w:t>
      </w:r>
    </w:p>
    <w:p w14:paraId="19BCEDB7" w14:textId="4D616202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Provide an overview of targeted therapy for RET gene fusions </w:t>
      </w:r>
    </w:p>
    <w:p w14:paraId="71155C04" w14:textId="3A6B3562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Detail the rational for targeting the MET pathway </w:t>
      </w:r>
    </w:p>
    <w:p w14:paraId="5B780A73" w14:textId="77777777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Present the treatment landscape for patients with MET mutations </w:t>
      </w:r>
    </w:p>
    <w:p w14:paraId="2735C781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Outline the unmet clinical need for patients with question how this landscape might look if the presence of MET mutations was identified earlier </w:t>
      </w:r>
    </w:p>
    <w:p w14:paraId="55335EA7" w14:textId="176F1D7F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Introduce the MET-targeted therapies </w:t>
      </w:r>
    </w:p>
    <w:p w14:paraId="2EC30EC0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Mode of action, potency, and selectivity of each </w:t>
      </w:r>
    </w:p>
    <w:p w14:paraId="0C19ACAD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Compare study designs </w:t>
      </w:r>
    </w:p>
    <w:p w14:paraId="500222EB" w14:textId="77777777" w:rsidR="00135511" w:rsidRDefault="007213ED">
      <w:pPr>
        <w:numPr>
          <w:ilvl w:val="1"/>
          <w:numId w:val="2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Present a table summary of key data; overall survival (OS), progression free survival (PFS), overall response rate (ORR), and adverse events (AEs)</w:t>
      </w:r>
    </w:p>
    <w:p w14:paraId="20F48B81" w14:textId="495C07CE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Briefly summarize the clinical data for emerging biomarkers: KRAS, HER2/EGFR mutations and DNA damage repair </w:t>
      </w:r>
    </w:p>
    <w:p w14:paraId="60989A25" w14:textId="77777777" w:rsidR="00135511" w:rsidRDefault="007213ED">
      <w:pPr>
        <w:numPr>
          <w:ilvl w:val="0"/>
          <w:numId w:val="2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>Outline the novel therapies in preclinical research for NSCLC</w:t>
      </w:r>
    </w:p>
    <w:p w14:paraId="595E65D1" w14:textId="77777777" w:rsidR="00135511" w:rsidRDefault="00135511">
      <w:pPr>
        <w:ind w:left="1080"/>
      </w:pPr>
    </w:p>
    <w:p w14:paraId="62FBD4FA" w14:textId="77777777" w:rsidR="001128C8" w:rsidRDefault="001128C8" w:rsidP="00FD4CFF">
      <w:pPr>
        <w:rPr>
          <w:b/>
          <w:bCs/>
        </w:rPr>
      </w:pPr>
    </w:p>
    <w:p w14:paraId="43B5C720" w14:textId="77777777" w:rsidR="001128C8" w:rsidRDefault="001128C8" w:rsidP="00FD4CFF">
      <w:pPr>
        <w:rPr>
          <w:b/>
          <w:bCs/>
        </w:rPr>
      </w:pPr>
    </w:p>
    <w:p w14:paraId="2954492D" w14:textId="77777777" w:rsidR="00C962EC" w:rsidRDefault="00C962EC" w:rsidP="00FD4CFF">
      <w:pPr>
        <w:rPr>
          <w:b/>
          <w:bCs/>
        </w:rPr>
      </w:pPr>
    </w:p>
    <w:p w14:paraId="7B7047A7" w14:textId="77777777" w:rsidR="00C962EC" w:rsidRDefault="00C962EC" w:rsidP="00FD4CFF">
      <w:pPr>
        <w:rPr>
          <w:b/>
          <w:bCs/>
        </w:rPr>
      </w:pPr>
    </w:p>
    <w:p w14:paraId="64B49259" w14:textId="6AA43835" w:rsidR="00C962EC" w:rsidRDefault="00C962EC" w:rsidP="00FD4CFF">
      <w:pPr>
        <w:rPr>
          <w:b/>
          <w:bCs/>
        </w:rPr>
      </w:pPr>
    </w:p>
    <w:p w14:paraId="390D494F" w14:textId="4DC21F6F" w:rsidR="00ED153D" w:rsidRDefault="00ED153D" w:rsidP="00FD4CFF">
      <w:pPr>
        <w:rPr>
          <w:b/>
          <w:bCs/>
        </w:rPr>
      </w:pPr>
    </w:p>
    <w:p w14:paraId="2B3CC6F5" w14:textId="55A9727B" w:rsidR="00ED153D" w:rsidRDefault="00ED153D" w:rsidP="00FD4CFF">
      <w:pPr>
        <w:rPr>
          <w:b/>
          <w:bCs/>
        </w:rPr>
      </w:pPr>
    </w:p>
    <w:p w14:paraId="6099AB7A" w14:textId="02545C83" w:rsidR="00ED153D" w:rsidRDefault="00ED153D" w:rsidP="00FD4CFF">
      <w:pPr>
        <w:rPr>
          <w:b/>
          <w:bCs/>
        </w:rPr>
      </w:pPr>
    </w:p>
    <w:p w14:paraId="796DC45C" w14:textId="77777777" w:rsidR="00ED153D" w:rsidRDefault="00ED153D" w:rsidP="00FD4CFF">
      <w:pPr>
        <w:rPr>
          <w:b/>
          <w:bCs/>
        </w:rPr>
      </w:pPr>
    </w:p>
    <w:p w14:paraId="27588F5F" w14:textId="77777777" w:rsidR="00C962EC" w:rsidRDefault="00C962EC" w:rsidP="00FD4CFF">
      <w:pPr>
        <w:rPr>
          <w:b/>
          <w:bCs/>
        </w:rPr>
      </w:pPr>
    </w:p>
    <w:p w14:paraId="3F6B7B32" w14:textId="1C4B0EB0" w:rsidR="00135511" w:rsidRDefault="00AC315C">
      <w:r w:rsidRPr="00AC315C">
        <w:rPr>
          <w:b/>
          <w:bCs/>
        </w:rPr>
        <w:lastRenderedPageBreak/>
        <w:t xml:space="preserve">Biopsies and biomarkers: emerging technology and the future of care </w:t>
      </w:r>
      <w:r>
        <w:rPr>
          <w:b/>
          <w:bCs/>
        </w:rPr>
        <w:br/>
      </w:r>
      <w:r w:rsidRPr="00AC315C">
        <w:rPr>
          <w:b/>
          <w:bCs/>
        </w:rPr>
        <w:t>for non-small cell lung cancer</w:t>
      </w:r>
      <w:r w:rsidR="00CB4185">
        <w:rPr>
          <w:b/>
          <w:bCs/>
        </w:rPr>
        <w:t xml:space="preserve"> (NSCLC)</w:t>
      </w:r>
      <w:r w:rsidRPr="00AC315C">
        <w:rPr>
          <w:b/>
          <w:bCs/>
        </w:rPr>
        <w:t xml:space="preserve"> </w:t>
      </w:r>
      <w:r w:rsidR="007213ED">
        <w:rPr>
          <w:b/>
          <w:bCs/>
        </w:rPr>
        <w:t>14:00–14:20 (20 min)</w:t>
      </w:r>
      <w:r w:rsidR="00ED153D">
        <w:rPr>
          <w:b/>
          <w:bCs/>
        </w:rPr>
        <w:t xml:space="preserve"> - </w:t>
      </w:r>
      <w:r w:rsidR="00ED153D" w:rsidRPr="00ED153D">
        <w:rPr>
          <w:b/>
          <w:bCs/>
        </w:rPr>
        <w:t>Prof. Myung-Ju Ahn</w:t>
      </w:r>
      <w:r w:rsidR="00ED153D">
        <w:rPr>
          <w:b/>
          <w:bCs/>
        </w:rPr>
        <w:t xml:space="preserve"> (Korea)</w:t>
      </w:r>
      <w:r w:rsidR="007213ED">
        <w:rPr>
          <w:b/>
          <w:bCs/>
        </w:rPr>
        <w:br/>
      </w:r>
    </w:p>
    <w:p w14:paraId="42728D7C" w14:textId="77777777" w:rsidR="00135511" w:rsidRDefault="007213ED">
      <w:r>
        <w:rPr>
          <w:b/>
          <w:bCs/>
        </w:rPr>
        <w:t>Suggested objectives</w:t>
      </w:r>
    </w:p>
    <w:p w14:paraId="3FAAA710" w14:textId="77777777" w:rsidR="00135511" w:rsidRDefault="00135511"/>
    <w:p w14:paraId="10D7E290" w14:textId="0953FA7E" w:rsidR="00135511" w:rsidRDefault="007213ED">
      <w:pPr>
        <w:numPr>
          <w:ilvl w:val="0"/>
          <w:numId w:val="4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Ensure audience has a shared understanding of the changing landscape </w:t>
      </w:r>
      <w:r>
        <w:br/>
        <w:t xml:space="preserve">of pathology for NSCLC </w:t>
      </w:r>
    </w:p>
    <w:p w14:paraId="451B684F" w14:textId="77777777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Movement from single NSCLC diagnosis to histology-based subtyping, to oncogenic driver subtyping</w:t>
      </w:r>
    </w:p>
    <w:p w14:paraId="477D68CE" w14:textId="77777777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Discuss the implications for treatment selection and predicted response </w:t>
      </w:r>
    </w:p>
    <w:p w14:paraId="312A72F7" w14:textId="7E994620" w:rsidR="00135511" w:rsidRDefault="007213ED">
      <w:pPr>
        <w:numPr>
          <w:ilvl w:val="0"/>
          <w:numId w:val="4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Discuss current pathology tests and processes for establishing a diagnosis </w:t>
      </w:r>
    </w:p>
    <w:p w14:paraId="44893630" w14:textId="77777777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Determining histologic subtype </w:t>
      </w:r>
    </w:p>
    <w:p w14:paraId="5EF09BB7" w14:textId="77777777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Biomarkers</w:t>
      </w:r>
    </w:p>
    <w:p w14:paraId="4F9291DF" w14:textId="49897DAD" w:rsidR="00135511" w:rsidRDefault="00CC2416">
      <w:pPr>
        <w:numPr>
          <w:ilvl w:val="2"/>
          <w:numId w:val="4"/>
        </w:numPr>
        <w:pBdr>
          <w:left w:val="none" w:sz="0" w:space="4" w:color="auto"/>
        </w:pBdr>
        <w:ind w:left="1800" w:hanging="366"/>
        <w:rPr>
          <w:rFonts w:ascii="Times New Roman" w:eastAsia="Times New Roman" w:hAnsi="Times New Roman" w:cs="Times New Roman"/>
        </w:rPr>
      </w:pPr>
      <w:r>
        <w:t>P</w:t>
      </w:r>
      <w:r w:rsidR="007213ED">
        <w:t>resent currently available biomarkers, including th</w:t>
      </w:r>
      <w:r>
        <w:t>ose</w:t>
      </w:r>
      <w:r w:rsidR="007213ED">
        <w:t xml:space="preserve"> established </w:t>
      </w:r>
      <w:r>
        <w:t>(</w:t>
      </w:r>
      <w:r w:rsidR="007213ED">
        <w:t>EGFR, ALK, ROS1, BRAF</w:t>
      </w:r>
      <w:r>
        <w:t>)</w:t>
      </w:r>
      <w:r w:rsidR="007213ED">
        <w:t xml:space="preserve"> and </w:t>
      </w:r>
      <w:r>
        <w:t>new biomarkers</w:t>
      </w:r>
      <w:r w:rsidR="007213ED">
        <w:t xml:space="preserve"> </w:t>
      </w:r>
      <w:r w:rsidR="00CF6038">
        <w:t>(</w:t>
      </w:r>
      <w:r w:rsidR="007213ED">
        <w:t>NTRK fusion-positive NSCLKC, METex14 mutation-positive NSCLC, RET fusion-positive NSCLC, HER2 and KRAS</w:t>
      </w:r>
      <w:r w:rsidR="00CF6038">
        <w:t>)</w:t>
      </w:r>
      <w:r w:rsidR="007213ED">
        <w:t xml:space="preserve"> </w:t>
      </w:r>
    </w:p>
    <w:p w14:paraId="44F30269" w14:textId="68470ECA" w:rsidR="00135511" w:rsidRDefault="00CF6038">
      <w:pPr>
        <w:numPr>
          <w:ilvl w:val="2"/>
          <w:numId w:val="4"/>
        </w:numPr>
        <w:pBdr>
          <w:left w:val="none" w:sz="0" w:space="4" w:color="auto"/>
        </w:pBdr>
        <w:ind w:left="1800" w:hanging="366"/>
        <w:rPr>
          <w:rFonts w:ascii="Times New Roman" w:eastAsia="Times New Roman" w:hAnsi="Times New Roman" w:cs="Times New Roman"/>
        </w:rPr>
      </w:pPr>
      <w:r>
        <w:t>R</w:t>
      </w:r>
      <w:r w:rsidR="007213ED">
        <w:t xml:space="preserve">eview available assay options </w:t>
      </w:r>
      <w:r>
        <w:t>(</w:t>
      </w:r>
      <w:r w:rsidR="007213ED">
        <w:t>IHC/FISH/NGS</w:t>
      </w:r>
      <w:r>
        <w:t>)</w:t>
      </w:r>
      <w:r w:rsidR="007213ED">
        <w:t xml:space="preserve">, highlighting strengths and limitations of each as they relate to the </w:t>
      </w:r>
      <w:proofErr w:type="gramStart"/>
      <w:r w:rsidR="007213ED">
        <w:t>aforementioned biomarkers</w:t>
      </w:r>
      <w:proofErr w:type="gramEnd"/>
    </w:p>
    <w:p w14:paraId="39B04D49" w14:textId="72044E31" w:rsidR="00135511" w:rsidRDefault="00CF6038">
      <w:pPr>
        <w:numPr>
          <w:ilvl w:val="2"/>
          <w:numId w:val="4"/>
        </w:numPr>
        <w:pBdr>
          <w:left w:val="none" w:sz="0" w:space="4" w:color="auto"/>
        </w:pBdr>
        <w:ind w:left="1800" w:hanging="366"/>
        <w:rPr>
          <w:rFonts w:ascii="Times New Roman" w:eastAsia="Times New Roman" w:hAnsi="Times New Roman" w:cs="Times New Roman"/>
        </w:rPr>
      </w:pPr>
      <w:r>
        <w:t>D</w:t>
      </w:r>
      <w:r w:rsidR="007213ED">
        <w:t xml:space="preserve">iscuss sequencing and timing of pathology requests, </w:t>
      </w:r>
      <w:r>
        <w:t>including</w:t>
      </w:r>
      <w:r w:rsidR="007213ED">
        <w:t xml:space="preserve"> </w:t>
      </w:r>
      <w:proofErr w:type="gramStart"/>
      <w:r w:rsidR="007213ED">
        <w:t>biomarkers  investigated</w:t>
      </w:r>
      <w:proofErr w:type="gramEnd"/>
      <w:r w:rsidR="007213ED">
        <w:t xml:space="preserve"> upfront and why making reference to changes in NCCN guidelines and emergence of new therapies which will change the standard</w:t>
      </w:r>
      <w:r w:rsidR="00174FF2">
        <w:t xml:space="preserve"> for the</w:t>
      </w:r>
      <w:r w:rsidR="007213ED">
        <w:t xml:space="preserve"> </w:t>
      </w:r>
      <w:r w:rsidR="00174FF2">
        <w:t>first</w:t>
      </w:r>
      <w:r w:rsidR="007213ED">
        <w:t xml:space="preserve"> round </w:t>
      </w:r>
      <w:r w:rsidR="00174FF2">
        <w:t xml:space="preserve">of </w:t>
      </w:r>
      <w:r w:rsidR="007213ED">
        <w:t>pathology investigation</w:t>
      </w:r>
    </w:p>
    <w:p w14:paraId="3B91CCE0" w14:textId="5FFEB26A" w:rsidR="00135511" w:rsidRDefault="007213ED">
      <w:pPr>
        <w:numPr>
          <w:ilvl w:val="0"/>
          <w:numId w:val="4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Introduce and explain liquid biopsy </w:t>
      </w:r>
    </w:p>
    <w:p w14:paraId="636D81AB" w14:textId="4AED0D76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What is liquid biopsy</w:t>
      </w:r>
      <w:r w:rsidR="00760984">
        <w:t>?</w:t>
      </w:r>
    </w:p>
    <w:p w14:paraId="7B146438" w14:textId="682CC4FA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Potential applications and advantages </w:t>
      </w:r>
      <w:r w:rsidR="00D65135">
        <w:t xml:space="preserve">with </w:t>
      </w:r>
      <w:r>
        <w:t>comparison to tissue biopsy</w:t>
      </w:r>
    </w:p>
    <w:p w14:paraId="5855B626" w14:textId="7C581FE9" w:rsidR="00135511" w:rsidRDefault="007213ED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Limitations of liquid biopsy with reference to performance in the available assay options </w:t>
      </w:r>
      <w:r w:rsidR="00D65135">
        <w:t>(</w:t>
      </w:r>
      <w:proofErr w:type="gramStart"/>
      <w:r>
        <w:t>ICH,FISH</w:t>
      </w:r>
      <w:proofErr w:type="gramEnd"/>
      <w:r>
        <w:t>/NGS</w:t>
      </w:r>
      <w:r w:rsidR="00D65135">
        <w:t>)</w:t>
      </w:r>
    </w:p>
    <w:p w14:paraId="6B39A8BE" w14:textId="15613F4E" w:rsidR="00135511" w:rsidRDefault="007213ED">
      <w:pPr>
        <w:numPr>
          <w:ilvl w:val="0"/>
          <w:numId w:val="4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In absence of liquid biopsy, strategies to improve tissue biopsy </w:t>
      </w:r>
    </w:p>
    <w:p w14:paraId="1E0B722B" w14:textId="6EF21FAA" w:rsidR="00135511" w:rsidRDefault="007213ED">
      <w:pPr>
        <w:numPr>
          <w:ilvl w:val="0"/>
          <w:numId w:val="4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Conclude the session by articulating the impact pathology may have on patient outcomes </w:t>
      </w:r>
      <w:r w:rsidR="00D65135">
        <w:t xml:space="preserve">in the following areas: </w:t>
      </w:r>
    </w:p>
    <w:p w14:paraId="382799E3" w14:textId="5C4E30CF" w:rsidR="00135511" w:rsidRDefault="00D65135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T</w:t>
      </w:r>
      <w:r w:rsidR="007213ED">
        <w:t>imely, accurate and specificity of diagnosis</w:t>
      </w:r>
    </w:p>
    <w:p w14:paraId="62477121" w14:textId="6C6A88F0" w:rsidR="00135511" w:rsidRDefault="00D65135">
      <w:pPr>
        <w:numPr>
          <w:ilvl w:val="1"/>
          <w:numId w:val="4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S</w:t>
      </w:r>
      <w:r w:rsidR="007213ED">
        <w:t xml:space="preserve">election of optimal therapy for </w:t>
      </w:r>
      <w:r w:rsidR="001162AD">
        <w:t>disease sub-type</w:t>
      </w:r>
      <w:r w:rsidR="003C2F47">
        <w:t xml:space="preserve">, </w:t>
      </w:r>
      <w:r w:rsidR="000D6347">
        <w:t xml:space="preserve">and to meet </w:t>
      </w:r>
      <w:r w:rsidR="007213ED">
        <w:t>patient needs</w:t>
      </w:r>
      <w:r w:rsidR="003C2F47">
        <w:t xml:space="preserve"> and</w:t>
      </w:r>
      <w:r w:rsidR="002735DF">
        <w:t xml:space="preserve"> </w:t>
      </w:r>
      <w:r w:rsidR="003C2F47">
        <w:br/>
      </w:r>
      <w:r w:rsidR="002735DF">
        <w:t>improve</w:t>
      </w:r>
      <w:r w:rsidR="003C2F47">
        <w:t xml:space="preserve"> </w:t>
      </w:r>
      <w:r w:rsidR="002735DF">
        <w:t xml:space="preserve">clinical and </w:t>
      </w:r>
      <w:r w:rsidR="00C17999">
        <w:t>patient-reported</w:t>
      </w:r>
      <w:r w:rsidR="002735DF">
        <w:t xml:space="preserve"> outcomes</w:t>
      </w:r>
    </w:p>
    <w:p w14:paraId="69CBECC2" w14:textId="77777777" w:rsidR="00135511" w:rsidRDefault="00135511"/>
    <w:p w14:paraId="4F46AC49" w14:textId="77777777" w:rsidR="00135511" w:rsidRDefault="007213ED">
      <w:pPr>
        <w:spacing w:after="160"/>
      </w:pPr>
      <w:r>
        <w:br w:type="page"/>
      </w:r>
    </w:p>
    <w:p w14:paraId="654C563E" w14:textId="77777777" w:rsidR="00135511" w:rsidRDefault="007213ED">
      <w:r>
        <w:rPr>
          <w:b/>
          <w:bCs/>
        </w:rPr>
        <w:lastRenderedPageBreak/>
        <w:t>Registries and real-world evidence: Learning directly from patients</w:t>
      </w:r>
    </w:p>
    <w:p w14:paraId="131CDB4E" w14:textId="50D813B6" w:rsidR="00433B49" w:rsidRPr="00264D21" w:rsidRDefault="007213ED" w:rsidP="00264D21">
      <w:r>
        <w:rPr>
          <w:b/>
          <w:bCs/>
        </w:rPr>
        <w:t>14:20–14:40 (20 min)</w:t>
      </w:r>
      <w:r w:rsidR="00ED153D">
        <w:rPr>
          <w:b/>
          <w:bCs/>
        </w:rPr>
        <w:t xml:space="preserve"> - </w:t>
      </w:r>
      <w:r w:rsidR="00ED153D" w:rsidRPr="00ED153D">
        <w:rPr>
          <w:b/>
          <w:bCs/>
        </w:rPr>
        <w:t xml:space="preserve">Prof. </w:t>
      </w:r>
      <w:proofErr w:type="spellStart"/>
      <w:r w:rsidR="00ED153D" w:rsidRPr="00ED153D">
        <w:rPr>
          <w:b/>
          <w:bCs/>
        </w:rPr>
        <w:t>Keunchil</w:t>
      </w:r>
      <w:proofErr w:type="spellEnd"/>
      <w:r w:rsidR="00ED153D" w:rsidRPr="00ED153D">
        <w:rPr>
          <w:b/>
          <w:bCs/>
        </w:rPr>
        <w:t xml:space="preserve"> Park</w:t>
      </w:r>
      <w:r w:rsidR="00ED153D">
        <w:rPr>
          <w:b/>
          <w:bCs/>
        </w:rPr>
        <w:t xml:space="preserve"> (Korea)</w:t>
      </w:r>
    </w:p>
    <w:p w14:paraId="489741A0" w14:textId="77777777" w:rsidR="00135511" w:rsidRDefault="00135511"/>
    <w:p w14:paraId="6DBD7BC0" w14:textId="77777777" w:rsidR="00135511" w:rsidRDefault="007213ED">
      <w:r>
        <w:rPr>
          <w:b/>
          <w:bCs/>
        </w:rPr>
        <w:t>Suggested objectives</w:t>
      </w:r>
    </w:p>
    <w:p w14:paraId="194172C8" w14:textId="77777777" w:rsidR="00135511" w:rsidRDefault="00135511"/>
    <w:p w14:paraId="7EDD2A36" w14:textId="28D67CE2" w:rsidR="00135511" w:rsidRDefault="007213ED">
      <w:pPr>
        <w:numPr>
          <w:ilvl w:val="0"/>
          <w:numId w:val="6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Provide an overview of lung cancer registries available worldwide </w:t>
      </w:r>
    </w:p>
    <w:p w14:paraId="05A9455E" w14:textId="52E5E42B" w:rsidR="00135511" w:rsidRDefault="007213ED">
      <w:pPr>
        <w:numPr>
          <w:ilvl w:val="0"/>
          <w:numId w:val="6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Provide an overview of lung cancer registries available specific to the APAC region </w:t>
      </w:r>
    </w:p>
    <w:p w14:paraId="49D6E26B" w14:textId="3CA3462F" w:rsidR="00135511" w:rsidRDefault="007213ED">
      <w:pPr>
        <w:numPr>
          <w:ilvl w:val="0"/>
          <w:numId w:val="6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 xml:space="preserve">Share personal experience of using data from any </w:t>
      </w:r>
      <w:proofErr w:type="gramStart"/>
      <w:r>
        <w:t>aforementioned registr</w:t>
      </w:r>
      <w:r w:rsidR="00FC41BB">
        <w:t>ies</w:t>
      </w:r>
      <w:proofErr w:type="gramEnd"/>
      <w:r>
        <w:t xml:space="preserve"> in clinical practice </w:t>
      </w:r>
    </w:p>
    <w:p w14:paraId="53B8F059" w14:textId="2127AE1D" w:rsidR="00135511" w:rsidRDefault="00CC0853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H</w:t>
      </w:r>
      <w:r w:rsidR="007213ED">
        <w:t xml:space="preserve">ow </w:t>
      </w:r>
      <w:r>
        <w:t>do these</w:t>
      </w:r>
      <w:r w:rsidR="007213ED">
        <w:t xml:space="preserve"> data assist </w:t>
      </w:r>
      <w:r>
        <w:t xml:space="preserve">your clinical </w:t>
      </w:r>
      <w:r w:rsidR="007213ED">
        <w:t xml:space="preserve">decision </w:t>
      </w:r>
      <w:r>
        <w:t xml:space="preserve">in </w:t>
      </w:r>
      <w:r w:rsidR="007213ED">
        <w:t>practice?</w:t>
      </w:r>
    </w:p>
    <w:p w14:paraId="78E95920" w14:textId="2968D552" w:rsidR="00135511" w:rsidRDefault="009F72C1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How dose registry data translate to your clinical practice, </w:t>
      </w:r>
      <w:r w:rsidR="007213ED">
        <w:t>particularly when using newer treatments?</w:t>
      </w:r>
    </w:p>
    <w:p w14:paraId="2B0D15D0" w14:textId="5684051F" w:rsidR="00135511" w:rsidRDefault="009F72C1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Note any</w:t>
      </w:r>
      <w:r w:rsidR="007213ED">
        <w:t xml:space="preserve"> considerations for using registry data to guide treatment decisions when practicing in the APAC region (e.g. any specific ethnicity considerations, access to treatments, access to diagnostics </w:t>
      </w:r>
      <w:proofErr w:type="spellStart"/>
      <w:r w:rsidR="007213ED">
        <w:t>etc</w:t>
      </w:r>
      <w:proofErr w:type="spellEnd"/>
      <w:r w:rsidR="007213ED">
        <w:t xml:space="preserve">) </w:t>
      </w:r>
    </w:p>
    <w:p w14:paraId="300AA9B3" w14:textId="6A1E908F" w:rsidR="00135511" w:rsidRDefault="009F72C1">
      <w:pPr>
        <w:numPr>
          <w:ilvl w:val="0"/>
          <w:numId w:val="6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>Share</w:t>
      </w:r>
      <w:r w:rsidR="007213ED">
        <w:t xml:space="preserve"> one or two case stud</w:t>
      </w:r>
      <w:r w:rsidR="001D1A84">
        <w:t>ies highlighting examples of how a</w:t>
      </w:r>
      <w:r w:rsidR="007213ED">
        <w:t xml:space="preserve"> clinician </w:t>
      </w:r>
      <w:r w:rsidR="001D1A84">
        <w:t>has identified</w:t>
      </w:r>
      <w:r w:rsidR="007213ED">
        <w:t xml:space="preserve"> uncommon mutation in patient</w:t>
      </w:r>
      <w:r w:rsidR="001D1A84">
        <w:t>s</w:t>
      </w:r>
      <w:r w:rsidR="007213ED">
        <w:t xml:space="preserve"> with NSCLC</w:t>
      </w:r>
      <w:r w:rsidR="008303A0">
        <w:t xml:space="preserve"> including:</w:t>
      </w:r>
    </w:p>
    <w:p w14:paraId="241D0967" w14:textId="5B0093A2" w:rsidR="00135511" w:rsidRDefault="008303A0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Th</w:t>
      </w:r>
      <w:r w:rsidR="007213ED">
        <w:t>e mutation identified</w:t>
      </w:r>
    </w:p>
    <w:p w14:paraId="08FE71F0" w14:textId="2AF10FA8" w:rsidR="00135511" w:rsidRDefault="008303A0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The</w:t>
      </w:r>
      <w:r w:rsidR="007213ED">
        <w:t xml:space="preserve"> timing of the mutation identification and its impact on </w:t>
      </w:r>
      <w:r>
        <w:t>patient outcomes</w:t>
      </w:r>
    </w:p>
    <w:p w14:paraId="2465BC89" w14:textId="7DD95EA6" w:rsidR="00135511" w:rsidRDefault="008303A0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The </w:t>
      </w:r>
      <w:r w:rsidR="007213ED">
        <w:t xml:space="preserve">impact of the presence of the mutation on treatment selection </w:t>
      </w:r>
    </w:p>
    <w:p w14:paraId="11D2BA06" w14:textId="77777777" w:rsidR="00025EAE" w:rsidRPr="00025EAE" w:rsidRDefault="008303A0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>The</w:t>
      </w:r>
      <w:r w:rsidR="007213ED">
        <w:t xml:space="preserve"> potential treatment selection and outcome for the patient</w:t>
      </w:r>
    </w:p>
    <w:p w14:paraId="6DFE9E05" w14:textId="75FC2BCE" w:rsidR="00135511" w:rsidRDefault="00025EAE">
      <w:pPr>
        <w:numPr>
          <w:ilvl w:val="1"/>
          <w:numId w:val="6"/>
        </w:numPr>
        <w:pBdr>
          <w:left w:val="none" w:sz="0" w:space="6" w:color="auto"/>
        </w:pBdr>
        <w:ind w:left="1080"/>
        <w:rPr>
          <w:rFonts w:ascii="Times New Roman" w:eastAsia="Times New Roman" w:hAnsi="Times New Roman" w:cs="Times New Roman"/>
        </w:rPr>
      </w:pPr>
      <w:r>
        <w:t xml:space="preserve">The implications of delayed identification </w:t>
      </w:r>
      <w:r w:rsidR="00C755F8">
        <w:t xml:space="preserve">of </w:t>
      </w:r>
      <w:r w:rsidR="007213ED">
        <w:t>the mutation</w:t>
      </w:r>
      <w:r w:rsidR="00C755F8">
        <w:t xml:space="preserve"> on treatment selection and patient outcomes</w:t>
      </w:r>
    </w:p>
    <w:p w14:paraId="3324FF40" w14:textId="1BE26A71" w:rsidR="00135511" w:rsidRDefault="00CA7607">
      <w:pPr>
        <w:numPr>
          <w:ilvl w:val="0"/>
          <w:numId w:val="7"/>
        </w:numPr>
        <w:pBdr>
          <w:left w:val="none" w:sz="0" w:space="7" w:color="auto"/>
        </w:pBdr>
        <w:ind w:left="360" w:hanging="430"/>
        <w:rPr>
          <w:rFonts w:ascii="Times New Roman" w:eastAsia="Times New Roman" w:hAnsi="Times New Roman" w:cs="Times New Roman"/>
        </w:rPr>
      </w:pPr>
      <w:r>
        <w:t>Close by reinforcing</w:t>
      </w:r>
      <w:r w:rsidR="007213ED">
        <w:t xml:space="preserve"> the potential benefit of early identification of specific gene mutations, highlighting the need for further investigation </w:t>
      </w:r>
      <w:r w:rsidR="00936576">
        <w:t>for</w:t>
      </w:r>
      <w:r w:rsidR="007213ED">
        <w:t xml:space="preserve"> mutations in the future</w:t>
      </w:r>
    </w:p>
    <w:p w14:paraId="2D611537" w14:textId="77777777" w:rsidR="00135511" w:rsidRDefault="00135511"/>
    <w:sectPr w:rsidR="001355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64333" w14:textId="77777777" w:rsidR="00B57F51" w:rsidRDefault="00B57F51">
      <w:pPr>
        <w:spacing w:line="240" w:lineRule="auto"/>
      </w:pPr>
      <w:r>
        <w:separator/>
      </w:r>
    </w:p>
  </w:endnote>
  <w:endnote w:type="continuationSeparator" w:id="0">
    <w:p w14:paraId="7D37E333" w14:textId="77777777" w:rsidR="00B57F51" w:rsidRDefault="00B57F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D4707" w14:textId="77777777" w:rsidR="00F8532F" w:rsidRDefault="00F853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4FCA23" w14:textId="77777777" w:rsidR="00F8532F" w:rsidRDefault="00F853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A81D0" w14:textId="77777777" w:rsidR="00F8532F" w:rsidRDefault="00F853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2ACFD" w14:textId="77777777" w:rsidR="00B57F51" w:rsidRDefault="00B57F51">
      <w:pPr>
        <w:spacing w:line="240" w:lineRule="auto"/>
      </w:pPr>
      <w:r>
        <w:separator/>
      </w:r>
    </w:p>
  </w:footnote>
  <w:footnote w:type="continuationSeparator" w:id="0">
    <w:p w14:paraId="3FD39D99" w14:textId="77777777" w:rsidR="00B57F51" w:rsidRDefault="00B57F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6B857" w14:textId="77777777" w:rsidR="00F8532F" w:rsidRDefault="00F853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B59D4" w14:textId="77777777" w:rsidR="00135511" w:rsidRDefault="007213ED">
    <w:pPr>
      <w:spacing w:line="240" w:lineRule="auto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1714AA" wp14:editId="6380BFFB">
          <wp:simplePos x="0" y="0"/>
          <wp:positionH relativeFrom="column">
            <wp:align>right</wp:align>
          </wp:positionH>
          <wp:positionV relativeFrom="paragraph">
            <wp:posOffset>-286385</wp:posOffset>
          </wp:positionV>
          <wp:extent cx="2181225" cy="609600"/>
          <wp:effectExtent l="0" t="0" r="0" b="0"/>
          <wp:wrapTight wrapText="bothSides">
            <wp:wrapPolygon edited="0">
              <wp:start x="-389" y="0"/>
              <wp:lineTo x="-389" y="21340"/>
              <wp:lineTo x="21795" y="21340"/>
              <wp:lineTo x="21795" y="0"/>
              <wp:lineTo x="-389" y="0"/>
            </wp:wrapPolygon>
          </wp:wrapTight>
          <wp:docPr id="100001" name="Picture 1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2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1225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74900" w14:textId="77777777" w:rsidR="00F8532F" w:rsidRDefault="00F853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4CD016B6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AD3664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F5EE0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41CD1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890AE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6A827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D2A8F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560A8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A4EEC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D4485B32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E638A1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 w:tplc="265E3D2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bCs w:val="0"/>
      </w:rPr>
    </w:lvl>
    <w:lvl w:ilvl="3" w:tplc="4530B4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AB45A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3E23B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C9CA3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6CEDA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9CAB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D98C7882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83FCF0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EC24C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F301E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DB84C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EF482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F5C52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5F020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6422C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C0C0FE7E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ABC4ED7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 w:tplc="C2E2F1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  <w:b w:val="0"/>
        <w:bCs w:val="0"/>
      </w:rPr>
    </w:lvl>
    <w:lvl w:ilvl="3" w:tplc="E34443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5EAF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4A63C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EA0D2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DEAF6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F2E2D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C742B17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6772E4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76E29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B8C2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1A6A1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1C0AD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12B6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32E11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B5C20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FCA83C46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955ED83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 w:tplc="9000DA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47468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C8AB7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42AB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03C58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0EEF3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AC23A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C6927854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CF36FE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E4C61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28490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994CB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D9EA2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4C064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BA66B0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1FE53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511"/>
    <w:rsid w:val="0001236A"/>
    <w:rsid w:val="00025EAE"/>
    <w:rsid w:val="00034943"/>
    <w:rsid w:val="00053CB5"/>
    <w:rsid w:val="000D6347"/>
    <w:rsid w:val="000F57A3"/>
    <w:rsid w:val="001128C8"/>
    <w:rsid w:val="001162AD"/>
    <w:rsid w:val="00135511"/>
    <w:rsid w:val="00145874"/>
    <w:rsid w:val="0014693F"/>
    <w:rsid w:val="00174FF2"/>
    <w:rsid w:val="00195CEE"/>
    <w:rsid w:val="001D187E"/>
    <w:rsid w:val="001D1A84"/>
    <w:rsid w:val="00216D5D"/>
    <w:rsid w:val="0024721E"/>
    <w:rsid w:val="00264D21"/>
    <w:rsid w:val="0027067A"/>
    <w:rsid w:val="002735DF"/>
    <w:rsid w:val="002A5385"/>
    <w:rsid w:val="002B2AB2"/>
    <w:rsid w:val="002F5167"/>
    <w:rsid w:val="00390E61"/>
    <w:rsid w:val="00395AFD"/>
    <w:rsid w:val="003C2F47"/>
    <w:rsid w:val="0040037A"/>
    <w:rsid w:val="00433B49"/>
    <w:rsid w:val="004469CF"/>
    <w:rsid w:val="005043D5"/>
    <w:rsid w:val="00641F01"/>
    <w:rsid w:val="006B190E"/>
    <w:rsid w:val="007213ED"/>
    <w:rsid w:val="00760984"/>
    <w:rsid w:val="007B6656"/>
    <w:rsid w:val="008303A0"/>
    <w:rsid w:val="008C500C"/>
    <w:rsid w:val="00936576"/>
    <w:rsid w:val="009F72C1"/>
    <w:rsid w:val="00A80E7C"/>
    <w:rsid w:val="00AA4164"/>
    <w:rsid w:val="00AC315C"/>
    <w:rsid w:val="00B57F51"/>
    <w:rsid w:val="00B6338F"/>
    <w:rsid w:val="00BE1B2E"/>
    <w:rsid w:val="00BE74D0"/>
    <w:rsid w:val="00C17999"/>
    <w:rsid w:val="00C3458F"/>
    <w:rsid w:val="00C755F8"/>
    <w:rsid w:val="00C83212"/>
    <w:rsid w:val="00C962EC"/>
    <w:rsid w:val="00CA4B8F"/>
    <w:rsid w:val="00CA7607"/>
    <w:rsid w:val="00CB4185"/>
    <w:rsid w:val="00CC0853"/>
    <w:rsid w:val="00CC2416"/>
    <w:rsid w:val="00CF6038"/>
    <w:rsid w:val="00D65135"/>
    <w:rsid w:val="00ED153D"/>
    <w:rsid w:val="00F3656E"/>
    <w:rsid w:val="00F8532F"/>
    <w:rsid w:val="00FC0C07"/>
    <w:rsid w:val="00FC41BB"/>
    <w:rsid w:val="00FD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C253BD0"/>
  <w15:docId w15:val="{289CAA7D-82C7-4BEB-9D52-AC88E12D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59" w:lineRule="auto"/>
    </w:pPr>
    <w:rPr>
      <w:rFonts w:ascii="Calibri" w:eastAsia="Calibri" w:hAnsi="Calibri" w:cs="Calibri"/>
      <w:sz w:val="22"/>
      <w:szCs w:val="22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3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37A"/>
    <w:rPr>
      <w:rFonts w:ascii="Calibri" w:eastAsia="Calibri" w:hAnsi="Calibri" w:cs="Calibri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32F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853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3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532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32F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532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32F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800A2AD1EFE24AABBA72062635B1D9" ma:contentTypeVersion="14" ma:contentTypeDescription="Create a new document." ma:contentTypeScope="" ma:versionID="06722f7c11fc4b5f480f55168dd1587f">
  <xsd:schema xmlns:xsd="http://www.w3.org/2001/XMLSchema" xmlns:xs="http://www.w3.org/2001/XMLSchema" xmlns:p="http://schemas.microsoft.com/office/2006/metadata/properties" xmlns:ns2="006b44fa-5b81-427c-9ef0-e6bcef38418d" xmlns:ns3="f2184d97-a2cd-4cb2-8fdc-f51c1a2f5c07" targetNamespace="http://schemas.microsoft.com/office/2006/metadata/properties" ma:root="true" ma:fieldsID="663c93db477892e1f6552df8f38d66da" ns2:_="" ns3:_="">
    <xsd:import namespace="006b44fa-5b81-427c-9ef0-e6bcef38418d"/>
    <xsd:import namespace="f2184d97-a2cd-4cb2-8fdc-f51c1a2f5c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b44fa-5b81-427c-9ef0-e6bcef38418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84d97-a2cd-4cb2-8fdc-f51c1a2f5c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374820-185B-4782-9FE6-9B1786CFA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b44fa-5b81-427c-9ef0-e6bcef38418d"/>
    <ds:schemaRef ds:uri="f2184d97-a2cd-4cb2-8fdc-f51c1a2f5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0E15FF-129A-4720-B6CB-F2DE8DE72A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2B6EFE-8507-44FC-A34D-BA3A9036CD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 Maiden</dc:creator>
  <cp:lastModifiedBy>Jason Huang</cp:lastModifiedBy>
  <cp:revision>2</cp:revision>
  <dcterms:created xsi:type="dcterms:W3CDTF">2021-03-08T10:45:00Z</dcterms:created>
  <dcterms:modified xsi:type="dcterms:W3CDTF">2021-03-08T10:45:00Z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0x010100FC800A2AD1EFE24AABBA72062635B1D9</vt:lpwstr>
  </property>
</Properties>
</file>