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F2" w:rsidRDefault="00EB1192" w:rsidP="008972F2">
      <w:pPr>
        <w:spacing w:line="360" w:lineRule="auto"/>
        <w:jc w:val="center"/>
        <w:rPr>
          <w:rFonts w:eastAsia="標楷體" w:hAnsi="標楷體"/>
          <w:b/>
          <w:bCs/>
          <w:color w:val="000000"/>
          <w:spacing w:val="20"/>
          <w:sz w:val="40"/>
          <w:szCs w:val="40"/>
        </w:rPr>
      </w:pPr>
      <w:r>
        <w:rPr>
          <w:rFonts w:eastAsia="標楷體" w:hAnsi="標楷體" w:hint="eastAsia"/>
          <w:b/>
          <w:bCs/>
          <w:color w:val="000000"/>
          <w:spacing w:val="20"/>
          <w:sz w:val="40"/>
          <w:szCs w:val="40"/>
        </w:rPr>
        <w:t>2020</w:t>
      </w:r>
      <w:r w:rsidR="008972F2">
        <w:rPr>
          <w:rFonts w:eastAsia="標楷體" w:hAnsi="標楷體" w:hint="eastAsia"/>
          <w:b/>
          <w:bCs/>
          <w:color w:val="000000"/>
          <w:spacing w:val="20"/>
          <w:sz w:val="40"/>
          <w:szCs w:val="40"/>
        </w:rPr>
        <w:t>年</w:t>
      </w:r>
      <w:r w:rsidR="008972F2" w:rsidRPr="003919F0">
        <w:rPr>
          <w:rFonts w:eastAsia="標楷體" w:hAnsi="標楷體" w:hint="eastAsia"/>
          <w:b/>
          <w:bCs/>
          <w:color w:val="000000"/>
          <w:spacing w:val="20"/>
          <w:sz w:val="40"/>
          <w:szCs w:val="40"/>
        </w:rPr>
        <w:t>台灣大學醫學院附設醫院雲林分院</w:t>
      </w:r>
    </w:p>
    <w:p w:rsidR="00D03C28" w:rsidRPr="008972F2" w:rsidRDefault="008972F2" w:rsidP="008972F2">
      <w:pPr>
        <w:spacing w:line="360" w:lineRule="auto"/>
        <w:jc w:val="center"/>
        <w:rPr>
          <w:rFonts w:eastAsia="標楷體" w:hAnsi="標楷體"/>
          <w:b/>
          <w:bCs/>
          <w:color w:val="000000"/>
          <w:spacing w:val="20"/>
          <w:sz w:val="40"/>
          <w:szCs w:val="40"/>
        </w:rPr>
      </w:pPr>
      <w:r w:rsidRPr="00E8161A">
        <w:rPr>
          <w:rFonts w:eastAsia="標楷體" w:hAnsi="標楷體" w:hint="eastAsia"/>
          <w:b/>
          <w:bCs/>
          <w:color w:val="000000"/>
          <w:spacing w:val="20"/>
          <w:sz w:val="40"/>
          <w:szCs w:val="40"/>
        </w:rPr>
        <w:t>肺癌多專科診療團隊</w:t>
      </w:r>
      <w:r w:rsidR="00D03C28" w:rsidRPr="00DB7396">
        <w:rPr>
          <w:rFonts w:eastAsia="標楷體" w:cs="新細明體" w:hint="eastAsia"/>
          <w:b/>
          <w:kern w:val="0"/>
          <w:sz w:val="40"/>
          <w:szCs w:val="40"/>
        </w:rPr>
        <w:t>病例討論會</w:t>
      </w:r>
    </w:p>
    <w:p w:rsidR="00D03C28" w:rsidRPr="00DB7396" w:rsidRDefault="00D03C28" w:rsidP="00D03C28">
      <w:pPr>
        <w:spacing w:line="360" w:lineRule="auto"/>
        <w:ind w:firstLine="482"/>
        <w:rPr>
          <w:rFonts w:eastAsia="標楷體"/>
          <w:b/>
          <w:sz w:val="28"/>
          <w:szCs w:val="28"/>
        </w:rPr>
      </w:pPr>
      <w:r w:rsidRPr="00DB7396">
        <w:rPr>
          <w:rFonts w:eastAsia="標楷體" w:hint="eastAsia"/>
          <w:b/>
          <w:sz w:val="28"/>
          <w:szCs w:val="28"/>
        </w:rPr>
        <w:t>摘要</w:t>
      </w:r>
    </w:p>
    <w:p w:rsidR="00D03C28" w:rsidRPr="009042A4" w:rsidRDefault="00D03C28" w:rsidP="00D03C28">
      <w:pPr>
        <w:spacing w:line="360" w:lineRule="auto"/>
        <w:ind w:firstLine="482"/>
        <w:rPr>
          <w:rFonts w:eastAsia="標楷體" w:cs="New Gulim"/>
          <w:sz w:val="26"/>
          <w:szCs w:val="26"/>
        </w:rPr>
      </w:pPr>
      <w:r w:rsidRPr="009042A4">
        <w:rPr>
          <w:rFonts w:eastAsia="標楷體" w:hint="eastAsia"/>
          <w:bCs/>
          <w:sz w:val="26"/>
          <w:szCs w:val="26"/>
        </w:rPr>
        <w:t>台大</w:t>
      </w:r>
      <w:r w:rsidR="008972F2">
        <w:rPr>
          <w:rFonts w:eastAsia="標楷體" w:hint="eastAsia"/>
          <w:bCs/>
          <w:sz w:val="26"/>
          <w:szCs w:val="26"/>
        </w:rPr>
        <w:t>雲林分院</w:t>
      </w:r>
      <w:r w:rsidRPr="009042A4">
        <w:rPr>
          <w:rFonts w:eastAsia="標楷體" w:hint="eastAsia"/>
          <w:bCs/>
          <w:sz w:val="26"/>
          <w:szCs w:val="26"/>
        </w:rPr>
        <w:t>醫院胸腔腫瘤多專科診療團隊</w:t>
      </w:r>
      <w:r w:rsidRPr="009042A4">
        <w:rPr>
          <w:rFonts w:eastAsia="標楷體"/>
          <w:sz w:val="26"/>
          <w:szCs w:val="26"/>
        </w:rPr>
        <w:t>每</w:t>
      </w:r>
      <w:r w:rsidRPr="009042A4">
        <w:rPr>
          <w:rFonts w:eastAsia="標楷體" w:hint="eastAsia"/>
          <w:sz w:val="26"/>
          <w:szCs w:val="26"/>
        </w:rPr>
        <w:t>週</w:t>
      </w:r>
      <w:r w:rsidRPr="009042A4">
        <w:rPr>
          <w:rFonts w:eastAsia="標楷體"/>
          <w:sz w:val="26"/>
          <w:szCs w:val="26"/>
        </w:rPr>
        <w:t>舉行</w:t>
      </w:r>
      <w:r w:rsidRPr="009042A4">
        <w:rPr>
          <w:rFonts w:eastAsia="標楷體" w:hint="eastAsia"/>
          <w:sz w:val="26"/>
          <w:szCs w:val="26"/>
        </w:rPr>
        <w:t>團隊會議，團隊的核心成員橫跨各科部，包括外科、內科、腫瘤醫學部、放射腫瘤科、影像醫學部、病</w:t>
      </w:r>
      <w:r w:rsidRPr="009042A4">
        <w:rPr>
          <w:rFonts w:eastAsia="標楷體" w:hAnsi="New Gulim" w:cs="New Gulim" w:hint="eastAsia"/>
          <w:sz w:val="26"/>
          <w:szCs w:val="26"/>
        </w:rPr>
        <w:t>理部、護理部腫瘤個案管理小組及</w:t>
      </w:r>
      <w:r w:rsidR="008972F2">
        <w:rPr>
          <w:rFonts w:eastAsia="標楷體" w:hAnsi="New Gulim" w:cs="New Gulim" w:hint="eastAsia"/>
          <w:sz w:val="26"/>
          <w:szCs w:val="26"/>
        </w:rPr>
        <w:t>腫瘤醫學</w:t>
      </w:r>
      <w:r w:rsidRPr="009042A4">
        <w:rPr>
          <w:rFonts w:eastAsia="標楷體" w:hAnsi="New Gulim" w:cs="New Gulim" w:hint="eastAsia"/>
          <w:sz w:val="26"/>
          <w:szCs w:val="26"/>
        </w:rPr>
        <w:t>中心；列席成員為核子醫學部、</w:t>
      </w:r>
      <w:r w:rsidR="008972F2">
        <w:rPr>
          <w:rFonts w:eastAsia="標楷體" w:hAnsi="New Gulim" w:cs="New Gulim" w:hint="eastAsia"/>
          <w:sz w:val="26"/>
          <w:szCs w:val="26"/>
        </w:rPr>
        <w:t>腫</w:t>
      </w:r>
      <w:proofErr w:type="gramStart"/>
      <w:r w:rsidR="008972F2">
        <w:rPr>
          <w:rFonts w:eastAsia="標楷體" w:hAnsi="New Gulim" w:cs="New Gulim" w:hint="eastAsia"/>
          <w:sz w:val="26"/>
          <w:szCs w:val="26"/>
        </w:rPr>
        <w:t>醫</w:t>
      </w:r>
      <w:proofErr w:type="gramEnd"/>
      <w:r w:rsidR="008972F2">
        <w:rPr>
          <w:rFonts w:eastAsia="標楷體" w:hAnsi="New Gulim" w:cs="New Gulim" w:hint="eastAsia"/>
          <w:sz w:val="26"/>
          <w:szCs w:val="26"/>
        </w:rPr>
        <w:t>中心</w:t>
      </w:r>
      <w:r w:rsidRPr="009042A4">
        <w:rPr>
          <w:rFonts w:eastAsia="標楷體" w:hAnsi="New Gulim" w:cs="New Gulim" w:hint="eastAsia"/>
          <w:sz w:val="26"/>
          <w:szCs w:val="26"/>
        </w:rPr>
        <w:t>癌症登記小組、</w:t>
      </w:r>
      <w:hyperlink r:id="rId7" w:history="1">
        <w:r w:rsidR="008972F2">
          <w:rPr>
            <w:rFonts w:eastAsia="標楷體" w:hint="eastAsia"/>
            <w:sz w:val="26"/>
            <w:szCs w:val="26"/>
          </w:rPr>
          <w:t>復健物理治療</w:t>
        </w:r>
        <w:r w:rsidRPr="009042A4">
          <w:rPr>
            <w:rFonts w:eastAsia="標楷體" w:hint="eastAsia"/>
            <w:sz w:val="26"/>
            <w:szCs w:val="26"/>
          </w:rPr>
          <w:t>部</w:t>
        </w:r>
      </w:hyperlink>
      <w:r w:rsidR="008972F2">
        <w:rPr>
          <w:rFonts w:eastAsia="標楷體" w:hAnsi="New Gulim" w:cs="New Gulim" w:hint="eastAsia"/>
          <w:sz w:val="26"/>
          <w:szCs w:val="26"/>
        </w:rPr>
        <w:t>及營養室等</w:t>
      </w:r>
      <w:r w:rsidRPr="009042A4">
        <w:rPr>
          <w:rFonts w:eastAsia="標楷體" w:hAnsi="New Gulim" w:cs="New Gulim" w:hint="eastAsia"/>
          <w:sz w:val="26"/>
          <w:szCs w:val="26"/>
        </w:rPr>
        <w:t>。</w:t>
      </w:r>
      <w:r w:rsidRPr="009042A4">
        <w:rPr>
          <w:rFonts w:eastAsia="標楷體"/>
          <w:sz w:val="26"/>
          <w:szCs w:val="26"/>
        </w:rPr>
        <w:t>討論的</w:t>
      </w:r>
      <w:proofErr w:type="gramStart"/>
      <w:r w:rsidRPr="009042A4">
        <w:rPr>
          <w:rFonts w:eastAsia="標楷體"/>
          <w:sz w:val="26"/>
          <w:szCs w:val="26"/>
        </w:rPr>
        <w:t>病例乃跨及</w:t>
      </w:r>
      <w:proofErr w:type="gramEnd"/>
      <w:r w:rsidRPr="009042A4">
        <w:rPr>
          <w:rFonts w:eastAsia="標楷體"/>
          <w:sz w:val="26"/>
          <w:szCs w:val="26"/>
        </w:rPr>
        <w:t>各科，但仍以胸腔內外科</w:t>
      </w:r>
      <w:r w:rsidRPr="009042A4">
        <w:rPr>
          <w:rFonts w:eastAsia="標楷體" w:hint="eastAsia"/>
          <w:sz w:val="26"/>
          <w:szCs w:val="26"/>
        </w:rPr>
        <w:t>及腫瘤</w:t>
      </w:r>
      <w:proofErr w:type="gramStart"/>
      <w:r w:rsidRPr="009042A4">
        <w:rPr>
          <w:rFonts w:eastAsia="標楷體" w:hint="eastAsia"/>
          <w:sz w:val="26"/>
          <w:szCs w:val="26"/>
        </w:rPr>
        <w:t>醫學部</w:t>
      </w:r>
      <w:r w:rsidRPr="009042A4">
        <w:rPr>
          <w:rFonts w:eastAsia="標楷體"/>
          <w:sz w:val="26"/>
          <w:szCs w:val="26"/>
        </w:rPr>
        <w:t>的病人</w:t>
      </w:r>
      <w:proofErr w:type="gramEnd"/>
      <w:r w:rsidRPr="009042A4">
        <w:rPr>
          <w:rFonts w:eastAsia="標楷體"/>
          <w:sz w:val="26"/>
          <w:szCs w:val="26"/>
        </w:rPr>
        <w:t>為主</w:t>
      </w:r>
      <w:r w:rsidRPr="009042A4">
        <w:rPr>
          <w:rFonts w:eastAsia="標楷體" w:hint="eastAsia"/>
          <w:sz w:val="26"/>
          <w:szCs w:val="26"/>
        </w:rPr>
        <w:t>。因</w:t>
      </w:r>
      <w:r w:rsidRPr="009042A4">
        <w:rPr>
          <w:rFonts w:eastAsia="標楷體" w:hAnsi="標楷體" w:hint="eastAsia"/>
          <w:sz w:val="26"/>
          <w:szCs w:val="26"/>
        </w:rPr>
        <w:t>病人可能分別會在內科、外科及腫瘤內科被診斷為</w:t>
      </w:r>
      <w:r w:rsidRPr="009042A4">
        <w:rPr>
          <w:rFonts w:eastAsia="標楷體" w:hint="eastAsia"/>
          <w:bCs/>
          <w:sz w:val="26"/>
          <w:szCs w:val="26"/>
        </w:rPr>
        <w:t>胸腔腫瘤</w:t>
      </w:r>
      <w:r w:rsidRPr="009042A4">
        <w:rPr>
          <w:rFonts w:eastAsia="標楷體" w:hAnsi="標楷體" w:hint="eastAsia"/>
          <w:sz w:val="26"/>
          <w:szCs w:val="26"/>
        </w:rPr>
        <w:t>，但在臨床診斷上不同科別的醫師對影像及腫瘤分期的判讀會有所差異，因此新診斷為</w:t>
      </w:r>
      <w:r w:rsidRPr="009042A4">
        <w:rPr>
          <w:rFonts w:eastAsia="標楷體" w:hint="eastAsia"/>
          <w:bCs/>
          <w:sz w:val="26"/>
          <w:szCs w:val="26"/>
        </w:rPr>
        <w:t>胸腔腫瘤</w:t>
      </w:r>
      <w:r w:rsidRPr="009042A4">
        <w:rPr>
          <w:rFonts w:eastAsia="標楷體" w:hAnsi="標楷體" w:hint="eastAsia"/>
          <w:sz w:val="26"/>
          <w:szCs w:val="26"/>
        </w:rPr>
        <w:t>個案多會提至</w:t>
      </w:r>
      <w:r w:rsidRPr="009042A4">
        <w:rPr>
          <w:rFonts w:eastAsia="標楷體" w:hint="eastAsia"/>
          <w:bCs/>
          <w:sz w:val="26"/>
          <w:szCs w:val="26"/>
        </w:rPr>
        <w:t>團隊會議</w:t>
      </w:r>
      <w:r>
        <w:rPr>
          <w:rFonts w:eastAsia="標楷體" w:hint="eastAsia"/>
          <w:bCs/>
          <w:sz w:val="26"/>
          <w:szCs w:val="26"/>
        </w:rPr>
        <w:t>討論</w:t>
      </w:r>
      <w:r w:rsidRPr="009042A4">
        <w:rPr>
          <w:rFonts w:eastAsia="標楷體" w:hAnsi="標楷體" w:hint="eastAsia"/>
          <w:sz w:val="26"/>
          <w:szCs w:val="26"/>
        </w:rPr>
        <w:t>，由各專科的主治醫師共同判讀影像報告及各項檢查結果，依討論共識決定臨床分期、病理分期</w:t>
      </w:r>
      <w:r>
        <w:rPr>
          <w:rFonts w:eastAsia="標楷體" w:hAnsi="標楷體" w:hint="eastAsia"/>
          <w:sz w:val="26"/>
          <w:szCs w:val="26"/>
        </w:rPr>
        <w:t>及治療計劃。主治醫師再依</w:t>
      </w:r>
      <w:r w:rsidRPr="009042A4">
        <w:rPr>
          <w:rFonts w:eastAsia="標楷體" w:hAnsi="標楷體" w:hint="eastAsia"/>
          <w:sz w:val="26"/>
          <w:szCs w:val="26"/>
        </w:rPr>
        <w:t>臨床</w:t>
      </w:r>
      <w:r w:rsidRPr="009042A4">
        <w:rPr>
          <w:rFonts w:eastAsia="標楷體" w:hint="eastAsia"/>
          <w:sz w:val="26"/>
          <w:szCs w:val="26"/>
        </w:rPr>
        <w:t>/</w:t>
      </w:r>
      <w:r w:rsidRPr="009042A4">
        <w:rPr>
          <w:rFonts w:eastAsia="標楷體" w:hAnsi="標楷體" w:hint="eastAsia"/>
          <w:sz w:val="26"/>
          <w:szCs w:val="26"/>
        </w:rPr>
        <w:t>病理分期提供病人最適合之治療建議，並協助轉</w:t>
      </w:r>
      <w:proofErr w:type="gramStart"/>
      <w:r w:rsidRPr="009042A4">
        <w:rPr>
          <w:rFonts w:eastAsia="標楷體" w:hAnsi="標楷體" w:hint="eastAsia"/>
          <w:sz w:val="26"/>
          <w:szCs w:val="26"/>
        </w:rPr>
        <w:t>介</w:t>
      </w:r>
      <w:proofErr w:type="gramEnd"/>
      <w:r w:rsidRPr="009042A4">
        <w:rPr>
          <w:rFonts w:eastAsia="標楷體" w:hAnsi="標楷體" w:hint="eastAsia"/>
          <w:sz w:val="26"/>
          <w:szCs w:val="26"/>
        </w:rPr>
        <w:t>給適合的科別門診作治療</w:t>
      </w:r>
      <w:r>
        <w:rPr>
          <w:rFonts w:eastAsia="標楷體" w:hAnsi="標楷體" w:hint="eastAsia"/>
          <w:sz w:val="26"/>
          <w:szCs w:val="26"/>
        </w:rPr>
        <w:t>。</w:t>
      </w:r>
    </w:p>
    <w:p w:rsidR="00390958" w:rsidRPr="00AA466D" w:rsidRDefault="008972F2" w:rsidP="0033455C">
      <w:pPr>
        <w:spacing w:line="360" w:lineRule="auto"/>
        <w:ind w:firstLine="482"/>
        <w:rPr>
          <w:rFonts w:eastAsia="標楷體"/>
          <w:sz w:val="26"/>
          <w:szCs w:val="26"/>
        </w:rPr>
      </w:pPr>
      <w:r>
        <w:rPr>
          <w:rFonts w:eastAsia="標楷體" w:hint="eastAsia"/>
          <w:sz w:val="26"/>
          <w:szCs w:val="26"/>
        </w:rPr>
        <w:t>17:00-18:00</w:t>
      </w:r>
      <w:r w:rsidR="00D03C28">
        <w:rPr>
          <w:rFonts w:eastAsia="標楷體" w:hint="eastAsia"/>
          <w:sz w:val="26"/>
          <w:szCs w:val="26"/>
        </w:rPr>
        <w:t>時段</w:t>
      </w:r>
      <w:r w:rsidR="00D03C28" w:rsidRPr="009042A4">
        <w:rPr>
          <w:rFonts w:eastAsia="標楷體" w:hint="eastAsia"/>
          <w:sz w:val="26"/>
          <w:szCs w:val="26"/>
        </w:rPr>
        <w:t>主要</w:t>
      </w:r>
      <w:r w:rsidR="0008054C">
        <w:rPr>
          <w:rFonts w:eastAsia="標楷體" w:hint="eastAsia"/>
          <w:sz w:val="26"/>
          <w:szCs w:val="26"/>
        </w:rPr>
        <w:t>分為兩部份第一部分</w:t>
      </w:r>
      <w:r w:rsidR="00D03C28" w:rsidRPr="009042A4">
        <w:rPr>
          <w:rFonts w:eastAsia="標楷體" w:hint="eastAsia"/>
          <w:sz w:val="26"/>
          <w:szCs w:val="26"/>
        </w:rPr>
        <w:t>是討論</w:t>
      </w:r>
      <w:r w:rsidR="00D03C28" w:rsidRPr="009042A4">
        <w:rPr>
          <w:rFonts w:eastAsia="標楷體" w:cs="新細明體" w:hint="eastAsia"/>
          <w:kern w:val="0"/>
          <w:sz w:val="26"/>
          <w:szCs w:val="26"/>
        </w:rPr>
        <w:t>胸腔腫瘤外科病患</w:t>
      </w:r>
      <w:r w:rsidR="00D03C28" w:rsidRPr="009042A4">
        <w:rPr>
          <w:rFonts w:eastAsia="標楷體" w:cs="新細明體" w:hint="eastAsia"/>
          <w:kern w:val="0"/>
          <w:sz w:val="26"/>
          <w:szCs w:val="26"/>
        </w:rPr>
        <w:t>pre-op</w:t>
      </w:r>
      <w:r w:rsidR="00D03C28" w:rsidRPr="009042A4">
        <w:rPr>
          <w:rFonts w:eastAsia="標楷體" w:cs="新細明體" w:hint="eastAsia"/>
          <w:kern w:val="0"/>
          <w:sz w:val="26"/>
          <w:szCs w:val="26"/>
        </w:rPr>
        <w:t>術前評估及</w:t>
      </w:r>
      <w:r w:rsidR="00D03C28" w:rsidRPr="009042A4">
        <w:rPr>
          <w:rFonts w:eastAsia="標楷體" w:cs="新細明體" w:hint="eastAsia"/>
          <w:kern w:val="0"/>
          <w:sz w:val="26"/>
          <w:szCs w:val="26"/>
        </w:rPr>
        <w:t>post-op</w:t>
      </w:r>
      <w:r w:rsidR="00D03C28" w:rsidRPr="009042A4">
        <w:rPr>
          <w:rFonts w:eastAsia="標楷體" w:cs="新細明體" w:hint="eastAsia"/>
          <w:kern w:val="0"/>
          <w:sz w:val="26"/>
          <w:szCs w:val="26"/>
        </w:rPr>
        <w:t>癌症分期暨處置研討</w:t>
      </w:r>
      <w:r w:rsidR="00D03C28" w:rsidRPr="009042A4">
        <w:rPr>
          <w:rFonts w:eastAsia="標楷體" w:hint="eastAsia"/>
          <w:sz w:val="26"/>
          <w:szCs w:val="26"/>
        </w:rPr>
        <w:t>，</w:t>
      </w:r>
      <w:r w:rsidR="00D03C28" w:rsidRPr="009042A4">
        <w:rPr>
          <w:rFonts w:eastAsia="標楷體"/>
          <w:sz w:val="26"/>
          <w:szCs w:val="26"/>
        </w:rPr>
        <w:t>每次討論約</w:t>
      </w:r>
      <w:r w:rsidR="0008054C">
        <w:rPr>
          <w:rFonts w:eastAsia="標楷體" w:hint="eastAsia"/>
          <w:sz w:val="26"/>
          <w:szCs w:val="26"/>
        </w:rPr>
        <w:t>2-4</w:t>
      </w:r>
      <w:r>
        <w:rPr>
          <w:rFonts w:eastAsia="標楷體" w:hint="eastAsia"/>
          <w:sz w:val="26"/>
          <w:szCs w:val="26"/>
        </w:rPr>
        <w:t>位</w:t>
      </w:r>
      <w:r w:rsidR="00D03C28" w:rsidRPr="009042A4">
        <w:rPr>
          <w:rFonts w:eastAsia="標楷體"/>
          <w:sz w:val="26"/>
          <w:szCs w:val="26"/>
        </w:rPr>
        <w:t>病例，由臨床醫師簡述病人主訴</w:t>
      </w:r>
      <w:r w:rsidR="00D03C28" w:rsidRPr="009042A4">
        <w:rPr>
          <w:rFonts w:eastAsia="標楷體" w:hint="eastAsia"/>
          <w:sz w:val="26"/>
          <w:szCs w:val="26"/>
        </w:rPr>
        <w:t>、病史</w:t>
      </w:r>
      <w:r w:rsidR="00D03C28" w:rsidRPr="009042A4">
        <w:rPr>
          <w:rFonts w:eastAsia="標楷體"/>
          <w:sz w:val="26"/>
          <w:szCs w:val="26"/>
        </w:rPr>
        <w:t>及症狀，</w:t>
      </w:r>
      <w:r w:rsidR="00D03C28" w:rsidRPr="009042A4">
        <w:rPr>
          <w:rFonts w:eastAsia="標楷體" w:hint="eastAsia"/>
          <w:sz w:val="26"/>
          <w:szCs w:val="26"/>
        </w:rPr>
        <w:t>再</w:t>
      </w:r>
      <w:r w:rsidR="00D03C28" w:rsidRPr="009042A4">
        <w:rPr>
          <w:rFonts w:eastAsia="標楷體" w:hint="eastAsia"/>
          <w:sz w:val="26"/>
          <w:szCs w:val="26"/>
        </w:rPr>
        <w:t>review</w:t>
      </w:r>
      <w:r w:rsidR="00D03C28" w:rsidRPr="00CF6343">
        <w:rPr>
          <w:rFonts w:eastAsia="標楷體" w:hint="eastAsia"/>
          <w:sz w:val="26"/>
          <w:szCs w:val="26"/>
        </w:rPr>
        <w:t xml:space="preserve"> </w:t>
      </w:r>
      <w:r w:rsidR="00D03C28" w:rsidRPr="009042A4">
        <w:rPr>
          <w:rFonts w:eastAsia="標楷體" w:hint="eastAsia"/>
          <w:sz w:val="26"/>
          <w:szCs w:val="26"/>
        </w:rPr>
        <w:t>chest X-ray</w:t>
      </w:r>
      <w:r w:rsidR="00D03C28" w:rsidRPr="009042A4">
        <w:rPr>
          <w:rFonts w:eastAsia="標楷體" w:hint="eastAsia"/>
          <w:sz w:val="26"/>
          <w:szCs w:val="26"/>
        </w:rPr>
        <w:t>、</w:t>
      </w:r>
      <w:r w:rsidR="00D03C28" w:rsidRPr="009042A4">
        <w:rPr>
          <w:rFonts w:eastAsia="標楷體" w:hint="eastAsia"/>
          <w:sz w:val="26"/>
          <w:szCs w:val="26"/>
        </w:rPr>
        <w:t>chest CT</w:t>
      </w:r>
      <w:r w:rsidR="00D03C28" w:rsidRPr="009042A4">
        <w:rPr>
          <w:rFonts w:eastAsia="標楷體"/>
          <w:sz w:val="26"/>
          <w:szCs w:val="26"/>
        </w:rPr>
        <w:t>及</w:t>
      </w:r>
      <w:r w:rsidR="00D03C28" w:rsidRPr="009042A4">
        <w:rPr>
          <w:rFonts w:eastAsia="標楷體" w:hint="eastAsia"/>
          <w:sz w:val="26"/>
          <w:szCs w:val="26"/>
        </w:rPr>
        <w:t>支氣管鏡報告，</w:t>
      </w:r>
      <w:r w:rsidR="00D03C28" w:rsidRPr="009042A4">
        <w:rPr>
          <w:rFonts w:eastAsia="標楷體"/>
          <w:sz w:val="26"/>
          <w:szCs w:val="26"/>
        </w:rPr>
        <w:t>推論可能之診斷</w:t>
      </w:r>
      <w:r w:rsidR="00D03C28" w:rsidRPr="009042A4">
        <w:rPr>
          <w:rFonts w:eastAsia="標楷體" w:hint="eastAsia"/>
          <w:sz w:val="26"/>
          <w:szCs w:val="26"/>
        </w:rPr>
        <w:t>及臨床分期</w:t>
      </w:r>
      <w:r w:rsidR="00D03C28" w:rsidRPr="009042A4">
        <w:rPr>
          <w:rFonts w:eastAsia="標楷體"/>
          <w:sz w:val="26"/>
          <w:szCs w:val="26"/>
        </w:rPr>
        <w:t>，</w:t>
      </w:r>
      <w:r w:rsidR="00D03C28" w:rsidRPr="009042A4">
        <w:rPr>
          <w:rFonts w:eastAsia="標楷體" w:hint="eastAsia"/>
          <w:sz w:val="26"/>
          <w:szCs w:val="26"/>
        </w:rPr>
        <w:t>再報告手術方式及病理報告，最後下一個病理分期，由主持人總結病理分期及共同討論後續處治或檢視治療計劃是否需檢討或修正</w:t>
      </w:r>
      <w:r w:rsidR="0008054C">
        <w:rPr>
          <w:rFonts w:eastAsia="標楷體" w:hint="eastAsia"/>
          <w:sz w:val="26"/>
          <w:szCs w:val="26"/>
        </w:rPr>
        <w:t>，第二部分</w:t>
      </w:r>
      <w:r w:rsidR="00D03C28" w:rsidRPr="009042A4">
        <w:rPr>
          <w:rFonts w:eastAsia="標楷體" w:hint="eastAsia"/>
          <w:sz w:val="26"/>
          <w:szCs w:val="26"/>
        </w:rPr>
        <w:t>主要是討論</w:t>
      </w:r>
      <w:r w:rsidR="00D03C28" w:rsidRPr="009042A4">
        <w:rPr>
          <w:rFonts w:eastAsia="標楷體" w:cs="新細明體" w:hint="eastAsia"/>
          <w:kern w:val="0"/>
          <w:sz w:val="26"/>
          <w:szCs w:val="26"/>
        </w:rPr>
        <w:t>胸腔腫瘤內科病患臨床分期暨處置研討</w:t>
      </w:r>
      <w:r w:rsidR="00D03C28" w:rsidRPr="009042A4">
        <w:rPr>
          <w:rFonts w:eastAsia="標楷體" w:hint="eastAsia"/>
          <w:sz w:val="26"/>
          <w:szCs w:val="26"/>
        </w:rPr>
        <w:t>，</w:t>
      </w:r>
      <w:r w:rsidR="00D03C28" w:rsidRPr="009042A4">
        <w:rPr>
          <w:rFonts w:eastAsia="標楷體"/>
          <w:sz w:val="26"/>
          <w:szCs w:val="26"/>
        </w:rPr>
        <w:t>每次討論約</w:t>
      </w:r>
      <w:r w:rsidR="0008054C">
        <w:rPr>
          <w:rFonts w:eastAsia="標楷體" w:hint="eastAsia"/>
          <w:sz w:val="26"/>
          <w:szCs w:val="26"/>
        </w:rPr>
        <w:t>6-8</w:t>
      </w:r>
      <w:r w:rsidR="00D03C28" w:rsidRPr="009042A4">
        <w:rPr>
          <w:rFonts w:eastAsia="標楷體"/>
          <w:sz w:val="26"/>
          <w:szCs w:val="26"/>
        </w:rPr>
        <w:t>個病例，由臨床醫師簡述病人主訴</w:t>
      </w:r>
      <w:r w:rsidR="00D03C28" w:rsidRPr="009042A4">
        <w:rPr>
          <w:rFonts w:eastAsia="標楷體" w:hint="eastAsia"/>
          <w:sz w:val="26"/>
          <w:szCs w:val="26"/>
        </w:rPr>
        <w:t>、病史</w:t>
      </w:r>
      <w:r w:rsidR="00D03C28" w:rsidRPr="009042A4">
        <w:rPr>
          <w:rFonts w:eastAsia="標楷體"/>
          <w:sz w:val="26"/>
          <w:szCs w:val="26"/>
        </w:rPr>
        <w:t>及症狀，</w:t>
      </w:r>
      <w:r w:rsidR="00D03C28" w:rsidRPr="009042A4">
        <w:rPr>
          <w:rFonts w:eastAsia="標楷體" w:hint="eastAsia"/>
          <w:sz w:val="26"/>
          <w:szCs w:val="26"/>
        </w:rPr>
        <w:t>再</w:t>
      </w:r>
      <w:r w:rsidR="00D03C28" w:rsidRPr="009042A4">
        <w:rPr>
          <w:rFonts w:eastAsia="標楷體" w:hint="eastAsia"/>
          <w:sz w:val="26"/>
          <w:szCs w:val="26"/>
        </w:rPr>
        <w:t>review chest X-ray</w:t>
      </w:r>
      <w:r w:rsidR="00D03C28" w:rsidRPr="009042A4">
        <w:rPr>
          <w:rFonts w:eastAsia="標楷體" w:hint="eastAsia"/>
          <w:sz w:val="26"/>
          <w:szCs w:val="26"/>
        </w:rPr>
        <w:t>、</w:t>
      </w:r>
      <w:r w:rsidR="00D03C28" w:rsidRPr="009042A4">
        <w:rPr>
          <w:rFonts w:eastAsia="標楷體" w:hint="eastAsia"/>
          <w:sz w:val="26"/>
          <w:szCs w:val="26"/>
        </w:rPr>
        <w:t>chest CT</w:t>
      </w:r>
      <w:r w:rsidR="00D03C28" w:rsidRPr="009042A4">
        <w:rPr>
          <w:rFonts w:eastAsia="標楷體" w:hint="eastAsia"/>
          <w:sz w:val="26"/>
          <w:szCs w:val="26"/>
        </w:rPr>
        <w:t>、</w:t>
      </w:r>
      <w:r w:rsidR="00D03C28" w:rsidRPr="009042A4">
        <w:rPr>
          <w:rFonts w:eastAsia="標楷體" w:hint="eastAsia"/>
          <w:sz w:val="26"/>
          <w:szCs w:val="26"/>
        </w:rPr>
        <w:t>bone scan/PET</w:t>
      </w:r>
      <w:r w:rsidR="00D03C28" w:rsidRPr="009042A4">
        <w:rPr>
          <w:rFonts w:eastAsia="標楷體"/>
          <w:sz w:val="26"/>
          <w:szCs w:val="26"/>
        </w:rPr>
        <w:t>及</w:t>
      </w:r>
      <w:r w:rsidR="00D03C28" w:rsidRPr="009042A4">
        <w:rPr>
          <w:rFonts w:eastAsia="標楷體" w:hint="eastAsia"/>
          <w:sz w:val="26"/>
          <w:szCs w:val="26"/>
        </w:rPr>
        <w:t>brain CT</w:t>
      </w:r>
      <w:r w:rsidR="00D03C28" w:rsidRPr="009042A4">
        <w:rPr>
          <w:rFonts w:eastAsia="標楷體" w:hAnsi="標楷體" w:hint="eastAsia"/>
          <w:sz w:val="26"/>
          <w:szCs w:val="26"/>
        </w:rPr>
        <w:t>，會中測量腫瘤大小及</w:t>
      </w:r>
      <w:r w:rsidR="00D03C28" w:rsidRPr="009042A4">
        <w:rPr>
          <w:rFonts w:eastAsia="標楷體" w:cs="新細明體"/>
          <w:kern w:val="0"/>
          <w:sz w:val="26"/>
          <w:szCs w:val="26"/>
        </w:rPr>
        <w:t>淋巴腺大小</w:t>
      </w:r>
      <w:r w:rsidR="00D03C28" w:rsidRPr="009042A4">
        <w:rPr>
          <w:rFonts w:eastAsia="標楷體" w:cs="新細明體" w:hint="eastAsia"/>
          <w:kern w:val="0"/>
          <w:sz w:val="26"/>
          <w:szCs w:val="26"/>
        </w:rPr>
        <w:t>，由團隊醫師共同討論臨床分期及後續之治療計劃，最後再由主持人總結，</w:t>
      </w:r>
      <w:r w:rsidR="00D03C28" w:rsidRPr="009042A4">
        <w:rPr>
          <w:rFonts w:eastAsia="標楷體" w:hint="eastAsia"/>
          <w:sz w:val="26"/>
          <w:szCs w:val="26"/>
        </w:rPr>
        <w:t>因</w:t>
      </w:r>
      <w:r w:rsidR="00D03C28" w:rsidRPr="009042A4">
        <w:rPr>
          <w:rFonts w:eastAsia="標楷體" w:cs="新細明體"/>
          <w:kern w:val="0"/>
          <w:sz w:val="26"/>
          <w:szCs w:val="26"/>
        </w:rPr>
        <w:t>AJCC version 7</w:t>
      </w:r>
      <w:r w:rsidR="00D03C28" w:rsidRPr="009042A4">
        <w:rPr>
          <w:rFonts w:eastAsia="標楷體" w:cs="新細明體"/>
          <w:kern w:val="0"/>
          <w:sz w:val="26"/>
          <w:szCs w:val="26"/>
        </w:rPr>
        <w:t>肺癌淋巴腺大小量法都有規定，</w:t>
      </w:r>
      <w:r w:rsidR="00D03C28" w:rsidRPr="009042A4">
        <w:rPr>
          <w:rFonts w:eastAsia="標楷體" w:cs="新細明體" w:hint="eastAsia"/>
          <w:kern w:val="0"/>
          <w:sz w:val="26"/>
          <w:szCs w:val="26"/>
        </w:rPr>
        <w:t>故</w:t>
      </w:r>
      <w:r w:rsidR="00D03C28" w:rsidRPr="009042A4">
        <w:rPr>
          <w:rFonts w:eastAsia="標楷體" w:cs="新細明體"/>
          <w:kern w:val="0"/>
          <w:sz w:val="26"/>
          <w:szCs w:val="26"/>
        </w:rPr>
        <w:t>確定</w:t>
      </w:r>
      <w:r w:rsidR="00D03C28" w:rsidRPr="009042A4">
        <w:rPr>
          <w:rFonts w:eastAsia="標楷體" w:cs="新細明體" w:hint="eastAsia"/>
          <w:kern w:val="0"/>
          <w:sz w:val="26"/>
          <w:szCs w:val="26"/>
        </w:rPr>
        <w:t>臨床</w:t>
      </w:r>
      <w:r w:rsidR="00D03C28" w:rsidRPr="009042A4">
        <w:rPr>
          <w:rFonts w:eastAsia="標楷體" w:cs="新細明體"/>
          <w:kern w:val="0"/>
          <w:sz w:val="26"/>
          <w:szCs w:val="26"/>
        </w:rPr>
        <w:t>分期會在</w:t>
      </w:r>
      <w:r w:rsidR="00D03C28" w:rsidRPr="009042A4">
        <w:rPr>
          <w:rFonts w:eastAsia="標楷體" w:cs="新細明體" w:hint="eastAsia"/>
          <w:kern w:val="0"/>
          <w:sz w:val="26"/>
          <w:szCs w:val="26"/>
        </w:rPr>
        <w:t>團隊</w:t>
      </w:r>
      <w:r w:rsidR="00D03C28" w:rsidRPr="009042A4">
        <w:rPr>
          <w:rFonts w:eastAsia="標楷體" w:cs="新細明體"/>
          <w:kern w:val="0"/>
          <w:sz w:val="26"/>
          <w:szCs w:val="26"/>
        </w:rPr>
        <w:t>會議中決定</w:t>
      </w:r>
      <w:r w:rsidR="00D03C28" w:rsidRPr="009042A4">
        <w:rPr>
          <w:rFonts w:eastAsia="標楷體" w:cs="新細明體" w:hint="eastAsia"/>
          <w:kern w:val="0"/>
          <w:sz w:val="26"/>
          <w:szCs w:val="26"/>
        </w:rPr>
        <w:t>。團隊</w:t>
      </w:r>
      <w:r w:rsidR="00D03C28" w:rsidRPr="009042A4">
        <w:rPr>
          <w:rFonts w:eastAsia="標楷體" w:cs="新細明體"/>
          <w:kern w:val="0"/>
          <w:sz w:val="26"/>
          <w:szCs w:val="26"/>
        </w:rPr>
        <w:t>會議</w:t>
      </w:r>
      <w:r w:rsidR="00D03C28" w:rsidRPr="009042A4">
        <w:rPr>
          <w:rFonts w:eastAsia="標楷體" w:cs="新細明體" w:hint="eastAsia"/>
          <w:kern w:val="0"/>
          <w:sz w:val="26"/>
          <w:szCs w:val="26"/>
        </w:rPr>
        <w:t>是一個實體聚集各科專家的平台，各專科醫師就</w:t>
      </w:r>
      <w:r w:rsidR="00D03C28" w:rsidRPr="009042A4">
        <w:rPr>
          <w:rFonts w:eastAsia="標楷體"/>
          <w:sz w:val="26"/>
          <w:szCs w:val="26"/>
        </w:rPr>
        <w:t>其專業領域提供寶貴意見，以決定病人將來之治療方針</w:t>
      </w:r>
      <w:r w:rsidR="00D03C28">
        <w:rPr>
          <w:rFonts w:eastAsia="標楷體" w:hint="eastAsia"/>
          <w:sz w:val="26"/>
          <w:szCs w:val="26"/>
        </w:rPr>
        <w:t>，這樣的過程</w:t>
      </w:r>
      <w:r w:rsidR="00D03C28" w:rsidRPr="009042A4">
        <w:rPr>
          <w:rFonts w:eastAsia="標楷體" w:hint="eastAsia"/>
          <w:sz w:val="26"/>
          <w:szCs w:val="26"/>
        </w:rPr>
        <w:t>能提供臨床醫師</w:t>
      </w:r>
      <w:r w:rsidR="00D03C28" w:rsidRPr="009042A4">
        <w:rPr>
          <w:rFonts w:eastAsia="標楷體"/>
          <w:sz w:val="26"/>
          <w:szCs w:val="26"/>
        </w:rPr>
        <w:t>最直接的臨床教育</w:t>
      </w:r>
      <w:r w:rsidR="00D03C28" w:rsidRPr="009042A4">
        <w:rPr>
          <w:rFonts w:eastAsia="標楷體" w:hint="eastAsia"/>
          <w:sz w:val="26"/>
          <w:szCs w:val="26"/>
        </w:rPr>
        <w:t>，經由討論亦可提升照護共識及癌症病患之照護品質</w:t>
      </w:r>
      <w:r w:rsidR="00D03C28" w:rsidRPr="009042A4">
        <w:rPr>
          <w:rFonts w:eastAsia="標楷體"/>
          <w:sz w:val="26"/>
          <w:szCs w:val="26"/>
        </w:rPr>
        <w:t>。</w:t>
      </w:r>
    </w:p>
    <w:sectPr w:rsidR="00390958" w:rsidRPr="00AA466D" w:rsidSect="00F80D95">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3E" w:rsidRDefault="0090203E" w:rsidP="00F85550">
      <w:r>
        <w:separator/>
      </w:r>
    </w:p>
  </w:endnote>
  <w:endnote w:type="continuationSeparator" w:id="0">
    <w:p w:rsidR="0090203E" w:rsidRDefault="0090203E" w:rsidP="00F855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3E" w:rsidRDefault="0090203E" w:rsidP="00F85550">
      <w:r>
        <w:separator/>
      </w:r>
    </w:p>
  </w:footnote>
  <w:footnote w:type="continuationSeparator" w:id="0">
    <w:p w:rsidR="0090203E" w:rsidRDefault="0090203E" w:rsidP="00F85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1B3"/>
    <w:multiLevelType w:val="hybridMultilevel"/>
    <w:tmpl w:val="BB0C4096"/>
    <w:lvl w:ilvl="0" w:tplc="475E6648">
      <w:start w:val="1"/>
      <w:numFmt w:val="bullet"/>
      <w:lvlText w:val="•"/>
      <w:lvlJc w:val="left"/>
      <w:pPr>
        <w:tabs>
          <w:tab w:val="num" w:pos="720"/>
        </w:tabs>
        <w:ind w:left="720" w:hanging="360"/>
      </w:pPr>
      <w:rPr>
        <w:rFonts w:ascii="Arial" w:hAnsi="Arial" w:hint="default"/>
      </w:rPr>
    </w:lvl>
    <w:lvl w:ilvl="1" w:tplc="611CD1CC" w:tentative="1">
      <w:start w:val="1"/>
      <w:numFmt w:val="bullet"/>
      <w:lvlText w:val="•"/>
      <w:lvlJc w:val="left"/>
      <w:pPr>
        <w:tabs>
          <w:tab w:val="num" w:pos="1440"/>
        </w:tabs>
        <w:ind w:left="1440" w:hanging="360"/>
      </w:pPr>
      <w:rPr>
        <w:rFonts w:ascii="Arial" w:hAnsi="Arial" w:hint="default"/>
      </w:rPr>
    </w:lvl>
    <w:lvl w:ilvl="2" w:tplc="0638CF98" w:tentative="1">
      <w:start w:val="1"/>
      <w:numFmt w:val="bullet"/>
      <w:lvlText w:val="•"/>
      <w:lvlJc w:val="left"/>
      <w:pPr>
        <w:tabs>
          <w:tab w:val="num" w:pos="2160"/>
        </w:tabs>
        <w:ind w:left="2160" w:hanging="360"/>
      </w:pPr>
      <w:rPr>
        <w:rFonts w:ascii="Arial" w:hAnsi="Arial" w:hint="default"/>
      </w:rPr>
    </w:lvl>
    <w:lvl w:ilvl="3" w:tplc="7B9EE96E" w:tentative="1">
      <w:start w:val="1"/>
      <w:numFmt w:val="bullet"/>
      <w:lvlText w:val="•"/>
      <w:lvlJc w:val="left"/>
      <w:pPr>
        <w:tabs>
          <w:tab w:val="num" w:pos="2880"/>
        </w:tabs>
        <w:ind w:left="2880" w:hanging="360"/>
      </w:pPr>
      <w:rPr>
        <w:rFonts w:ascii="Arial" w:hAnsi="Arial" w:hint="default"/>
      </w:rPr>
    </w:lvl>
    <w:lvl w:ilvl="4" w:tplc="DBB8BFCC" w:tentative="1">
      <w:start w:val="1"/>
      <w:numFmt w:val="bullet"/>
      <w:lvlText w:val="•"/>
      <w:lvlJc w:val="left"/>
      <w:pPr>
        <w:tabs>
          <w:tab w:val="num" w:pos="3600"/>
        </w:tabs>
        <w:ind w:left="3600" w:hanging="360"/>
      </w:pPr>
      <w:rPr>
        <w:rFonts w:ascii="Arial" w:hAnsi="Arial" w:hint="default"/>
      </w:rPr>
    </w:lvl>
    <w:lvl w:ilvl="5" w:tplc="6E728A00" w:tentative="1">
      <w:start w:val="1"/>
      <w:numFmt w:val="bullet"/>
      <w:lvlText w:val="•"/>
      <w:lvlJc w:val="left"/>
      <w:pPr>
        <w:tabs>
          <w:tab w:val="num" w:pos="4320"/>
        </w:tabs>
        <w:ind w:left="4320" w:hanging="360"/>
      </w:pPr>
      <w:rPr>
        <w:rFonts w:ascii="Arial" w:hAnsi="Arial" w:hint="default"/>
      </w:rPr>
    </w:lvl>
    <w:lvl w:ilvl="6" w:tplc="A9EA27D6" w:tentative="1">
      <w:start w:val="1"/>
      <w:numFmt w:val="bullet"/>
      <w:lvlText w:val="•"/>
      <w:lvlJc w:val="left"/>
      <w:pPr>
        <w:tabs>
          <w:tab w:val="num" w:pos="5040"/>
        </w:tabs>
        <w:ind w:left="5040" w:hanging="360"/>
      </w:pPr>
      <w:rPr>
        <w:rFonts w:ascii="Arial" w:hAnsi="Arial" w:hint="default"/>
      </w:rPr>
    </w:lvl>
    <w:lvl w:ilvl="7" w:tplc="BC3A6CA6" w:tentative="1">
      <w:start w:val="1"/>
      <w:numFmt w:val="bullet"/>
      <w:lvlText w:val="•"/>
      <w:lvlJc w:val="left"/>
      <w:pPr>
        <w:tabs>
          <w:tab w:val="num" w:pos="5760"/>
        </w:tabs>
        <w:ind w:left="5760" w:hanging="360"/>
      </w:pPr>
      <w:rPr>
        <w:rFonts w:ascii="Arial" w:hAnsi="Arial" w:hint="default"/>
      </w:rPr>
    </w:lvl>
    <w:lvl w:ilvl="8" w:tplc="7C483DFE" w:tentative="1">
      <w:start w:val="1"/>
      <w:numFmt w:val="bullet"/>
      <w:lvlText w:val="•"/>
      <w:lvlJc w:val="left"/>
      <w:pPr>
        <w:tabs>
          <w:tab w:val="num" w:pos="6480"/>
        </w:tabs>
        <w:ind w:left="6480" w:hanging="360"/>
      </w:pPr>
      <w:rPr>
        <w:rFonts w:ascii="Arial" w:hAnsi="Arial" w:hint="default"/>
      </w:rPr>
    </w:lvl>
  </w:abstractNum>
  <w:abstractNum w:abstractNumId="1">
    <w:nsid w:val="04362EC4"/>
    <w:multiLevelType w:val="hybridMultilevel"/>
    <w:tmpl w:val="62A84F6E"/>
    <w:lvl w:ilvl="0" w:tplc="7D8018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30209"/>
    <w:multiLevelType w:val="hybridMultilevel"/>
    <w:tmpl w:val="A75E7170"/>
    <w:lvl w:ilvl="0" w:tplc="5FB6389C">
      <w:start w:val="1"/>
      <w:numFmt w:val="bullet"/>
      <w:lvlText w:val=""/>
      <w:lvlJc w:val="left"/>
      <w:pPr>
        <w:tabs>
          <w:tab w:val="num" w:pos="720"/>
        </w:tabs>
        <w:ind w:left="720" w:hanging="360"/>
      </w:pPr>
      <w:rPr>
        <w:rFonts w:ascii="Wingdings" w:hAnsi="Wingdings" w:hint="default"/>
      </w:rPr>
    </w:lvl>
    <w:lvl w:ilvl="1" w:tplc="0FC65B78" w:tentative="1">
      <w:start w:val="1"/>
      <w:numFmt w:val="bullet"/>
      <w:lvlText w:val=""/>
      <w:lvlJc w:val="left"/>
      <w:pPr>
        <w:tabs>
          <w:tab w:val="num" w:pos="1440"/>
        </w:tabs>
        <w:ind w:left="1440" w:hanging="360"/>
      </w:pPr>
      <w:rPr>
        <w:rFonts w:ascii="Wingdings" w:hAnsi="Wingdings" w:hint="default"/>
      </w:rPr>
    </w:lvl>
    <w:lvl w:ilvl="2" w:tplc="5C9AFA50" w:tentative="1">
      <w:start w:val="1"/>
      <w:numFmt w:val="bullet"/>
      <w:lvlText w:val=""/>
      <w:lvlJc w:val="left"/>
      <w:pPr>
        <w:tabs>
          <w:tab w:val="num" w:pos="2160"/>
        </w:tabs>
        <w:ind w:left="2160" w:hanging="360"/>
      </w:pPr>
      <w:rPr>
        <w:rFonts w:ascii="Wingdings" w:hAnsi="Wingdings" w:hint="default"/>
      </w:rPr>
    </w:lvl>
    <w:lvl w:ilvl="3" w:tplc="576411C8" w:tentative="1">
      <w:start w:val="1"/>
      <w:numFmt w:val="bullet"/>
      <w:lvlText w:val=""/>
      <w:lvlJc w:val="left"/>
      <w:pPr>
        <w:tabs>
          <w:tab w:val="num" w:pos="2880"/>
        </w:tabs>
        <w:ind w:left="2880" w:hanging="360"/>
      </w:pPr>
      <w:rPr>
        <w:rFonts w:ascii="Wingdings" w:hAnsi="Wingdings" w:hint="default"/>
      </w:rPr>
    </w:lvl>
    <w:lvl w:ilvl="4" w:tplc="A68A67BE" w:tentative="1">
      <w:start w:val="1"/>
      <w:numFmt w:val="bullet"/>
      <w:lvlText w:val=""/>
      <w:lvlJc w:val="left"/>
      <w:pPr>
        <w:tabs>
          <w:tab w:val="num" w:pos="3600"/>
        </w:tabs>
        <w:ind w:left="3600" w:hanging="360"/>
      </w:pPr>
      <w:rPr>
        <w:rFonts w:ascii="Wingdings" w:hAnsi="Wingdings" w:hint="default"/>
      </w:rPr>
    </w:lvl>
    <w:lvl w:ilvl="5" w:tplc="7E620CCA" w:tentative="1">
      <w:start w:val="1"/>
      <w:numFmt w:val="bullet"/>
      <w:lvlText w:val=""/>
      <w:lvlJc w:val="left"/>
      <w:pPr>
        <w:tabs>
          <w:tab w:val="num" w:pos="4320"/>
        </w:tabs>
        <w:ind w:left="4320" w:hanging="360"/>
      </w:pPr>
      <w:rPr>
        <w:rFonts w:ascii="Wingdings" w:hAnsi="Wingdings" w:hint="default"/>
      </w:rPr>
    </w:lvl>
    <w:lvl w:ilvl="6" w:tplc="05F86104" w:tentative="1">
      <w:start w:val="1"/>
      <w:numFmt w:val="bullet"/>
      <w:lvlText w:val=""/>
      <w:lvlJc w:val="left"/>
      <w:pPr>
        <w:tabs>
          <w:tab w:val="num" w:pos="5040"/>
        </w:tabs>
        <w:ind w:left="5040" w:hanging="360"/>
      </w:pPr>
      <w:rPr>
        <w:rFonts w:ascii="Wingdings" w:hAnsi="Wingdings" w:hint="default"/>
      </w:rPr>
    </w:lvl>
    <w:lvl w:ilvl="7" w:tplc="3224FAE0" w:tentative="1">
      <w:start w:val="1"/>
      <w:numFmt w:val="bullet"/>
      <w:lvlText w:val=""/>
      <w:lvlJc w:val="left"/>
      <w:pPr>
        <w:tabs>
          <w:tab w:val="num" w:pos="5760"/>
        </w:tabs>
        <w:ind w:left="5760" w:hanging="360"/>
      </w:pPr>
      <w:rPr>
        <w:rFonts w:ascii="Wingdings" w:hAnsi="Wingdings" w:hint="default"/>
      </w:rPr>
    </w:lvl>
    <w:lvl w:ilvl="8" w:tplc="EE582D9C" w:tentative="1">
      <w:start w:val="1"/>
      <w:numFmt w:val="bullet"/>
      <w:lvlText w:val=""/>
      <w:lvlJc w:val="left"/>
      <w:pPr>
        <w:tabs>
          <w:tab w:val="num" w:pos="6480"/>
        </w:tabs>
        <w:ind w:left="6480" w:hanging="360"/>
      </w:pPr>
      <w:rPr>
        <w:rFonts w:ascii="Wingdings" w:hAnsi="Wingdings" w:hint="default"/>
      </w:rPr>
    </w:lvl>
  </w:abstractNum>
  <w:abstractNum w:abstractNumId="3">
    <w:nsid w:val="0E15663C"/>
    <w:multiLevelType w:val="hybridMultilevel"/>
    <w:tmpl w:val="990854AC"/>
    <w:lvl w:ilvl="0" w:tplc="D812B17A">
      <w:start w:val="1"/>
      <w:numFmt w:val="bullet"/>
      <w:lvlText w:val=""/>
      <w:lvlJc w:val="left"/>
      <w:pPr>
        <w:tabs>
          <w:tab w:val="num" w:pos="720"/>
        </w:tabs>
        <w:ind w:left="720" w:hanging="360"/>
      </w:pPr>
      <w:rPr>
        <w:rFonts w:ascii="Wingdings" w:hAnsi="Wingdings" w:hint="default"/>
      </w:rPr>
    </w:lvl>
    <w:lvl w:ilvl="1" w:tplc="1FB82FE4" w:tentative="1">
      <w:start w:val="1"/>
      <w:numFmt w:val="bullet"/>
      <w:lvlText w:val=""/>
      <w:lvlJc w:val="left"/>
      <w:pPr>
        <w:tabs>
          <w:tab w:val="num" w:pos="1440"/>
        </w:tabs>
        <w:ind w:left="1440" w:hanging="360"/>
      </w:pPr>
      <w:rPr>
        <w:rFonts w:ascii="Wingdings" w:hAnsi="Wingdings" w:hint="default"/>
      </w:rPr>
    </w:lvl>
    <w:lvl w:ilvl="2" w:tplc="B26EAAE0" w:tentative="1">
      <w:start w:val="1"/>
      <w:numFmt w:val="bullet"/>
      <w:lvlText w:val=""/>
      <w:lvlJc w:val="left"/>
      <w:pPr>
        <w:tabs>
          <w:tab w:val="num" w:pos="2160"/>
        </w:tabs>
        <w:ind w:left="2160" w:hanging="360"/>
      </w:pPr>
      <w:rPr>
        <w:rFonts w:ascii="Wingdings" w:hAnsi="Wingdings" w:hint="default"/>
      </w:rPr>
    </w:lvl>
    <w:lvl w:ilvl="3" w:tplc="DFF44C4A" w:tentative="1">
      <w:start w:val="1"/>
      <w:numFmt w:val="bullet"/>
      <w:lvlText w:val=""/>
      <w:lvlJc w:val="left"/>
      <w:pPr>
        <w:tabs>
          <w:tab w:val="num" w:pos="2880"/>
        </w:tabs>
        <w:ind w:left="2880" w:hanging="360"/>
      </w:pPr>
      <w:rPr>
        <w:rFonts w:ascii="Wingdings" w:hAnsi="Wingdings" w:hint="default"/>
      </w:rPr>
    </w:lvl>
    <w:lvl w:ilvl="4" w:tplc="199E3302" w:tentative="1">
      <w:start w:val="1"/>
      <w:numFmt w:val="bullet"/>
      <w:lvlText w:val=""/>
      <w:lvlJc w:val="left"/>
      <w:pPr>
        <w:tabs>
          <w:tab w:val="num" w:pos="3600"/>
        </w:tabs>
        <w:ind w:left="3600" w:hanging="360"/>
      </w:pPr>
      <w:rPr>
        <w:rFonts w:ascii="Wingdings" w:hAnsi="Wingdings" w:hint="default"/>
      </w:rPr>
    </w:lvl>
    <w:lvl w:ilvl="5" w:tplc="2E54CA8E" w:tentative="1">
      <w:start w:val="1"/>
      <w:numFmt w:val="bullet"/>
      <w:lvlText w:val=""/>
      <w:lvlJc w:val="left"/>
      <w:pPr>
        <w:tabs>
          <w:tab w:val="num" w:pos="4320"/>
        </w:tabs>
        <w:ind w:left="4320" w:hanging="360"/>
      </w:pPr>
      <w:rPr>
        <w:rFonts w:ascii="Wingdings" w:hAnsi="Wingdings" w:hint="default"/>
      </w:rPr>
    </w:lvl>
    <w:lvl w:ilvl="6" w:tplc="4AA89ACA" w:tentative="1">
      <w:start w:val="1"/>
      <w:numFmt w:val="bullet"/>
      <w:lvlText w:val=""/>
      <w:lvlJc w:val="left"/>
      <w:pPr>
        <w:tabs>
          <w:tab w:val="num" w:pos="5040"/>
        </w:tabs>
        <w:ind w:left="5040" w:hanging="360"/>
      </w:pPr>
      <w:rPr>
        <w:rFonts w:ascii="Wingdings" w:hAnsi="Wingdings" w:hint="default"/>
      </w:rPr>
    </w:lvl>
    <w:lvl w:ilvl="7" w:tplc="D5AA63D4" w:tentative="1">
      <w:start w:val="1"/>
      <w:numFmt w:val="bullet"/>
      <w:lvlText w:val=""/>
      <w:lvlJc w:val="left"/>
      <w:pPr>
        <w:tabs>
          <w:tab w:val="num" w:pos="5760"/>
        </w:tabs>
        <w:ind w:left="5760" w:hanging="360"/>
      </w:pPr>
      <w:rPr>
        <w:rFonts w:ascii="Wingdings" w:hAnsi="Wingdings" w:hint="default"/>
      </w:rPr>
    </w:lvl>
    <w:lvl w:ilvl="8" w:tplc="59987F90" w:tentative="1">
      <w:start w:val="1"/>
      <w:numFmt w:val="bullet"/>
      <w:lvlText w:val=""/>
      <w:lvlJc w:val="left"/>
      <w:pPr>
        <w:tabs>
          <w:tab w:val="num" w:pos="6480"/>
        </w:tabs>
        <w:ind w:left="6480" w:hanging="360"/>
      </w:pPr>
      <w:rPr>
        <w:rFonts w:ascii="Wingdings" w:hAnsi="Wingdings" w:hint="default"/>
      </w:rPr>
    </w:lvl>
  </w:abstractNum>
  <w:abstractNum w:abstractNumId="4">
    <w:nsid w:val="0F1D6C19"/>
    <w:multiLevelType w:val="hybridMultilevel"/>
    <w:tmpl w:val="7756AB9C"/>
    <w:lvl w:ilvl="0" w:tplc="294A4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DE727C"/>
    <w:multiLevelType w:val="hybridMultilevel"/>
    <w:tmpl w:val="0792C0C4"/>
    <w:lvl w:ilvl="0" w:tplc="294EE6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DC1C69"/>
    <w:multiLevelType w:val="hybridMultilevel"/>
    <w:tmpl w:val="3EFCDEB8"/>
    <w:lvl w:ilvl="0" w:tplc="E77C39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5591F47"/>
    <w:multiLevelType w:val="hybridMultilevel"/>
    <w:tmpl w:val="088637C2"/>
    <w:lvl w:ilvl="0" w:tplc="FFFFFFFF">
      <w:start w:val="1"/>
      <w:numFmt w:val="decimal"/>
      <w:lvlText w:val="%1."/>
      <w:lvlJc w:val="left"/>
      <w:pPr>
        <w:tabs>
          <w:tab w:val="num" w:pos="360"/>
        </w:tabs>
        <w:ind w:left="360" w:hanging="360"/>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49E238BC"/>
    <w:multiLevelType w:val="hybridMultilevel"/>
    <w:tmpl w:val="409893C4"/>
    <w:lvl w:ilvl="0" w:tplc="7464B81A">
      <w:start w:val="1"/>
      <w:numFmt w:val="bullet"/>
      <w:lvlText w:val="•"/>
      <w:lvlJc w:val="left"/>
      <w:pPr>
        <w:tabs>
          <w:tab w:val="num" w:pos="720"/>
        </w:tabs>
        <w:ind w:left="720" w:hanging="360"/>
      </w:pPr>
      <w:rPr>
        <w:rFonts w:ascii="Arial" w:hAnsi="Arial" w:hint="default"/>
      </w:rPr>
    </w:lvl>
    <w:lvl w:ilvl="1" w:tplc="54B662B0" w:tentative="1">
      <w:start w:val="1"/>
      <w:numFmt w:val="bullet"/>
      <w:lvlText w:val="•"/>
      <w:lvlJc w:val="left"/>
      <w:pPr>
        <w:tabs>
          <w:tab w:val="num" w:pos="1440"/>
        </w:tabs>
        <w:ind w:left="1440" w:hanging="360"/>
      </w:pPr>
      <w:rPr>
        <w:rFonts w:ascii="Arial" w:hAnsi="Arial" w:hint="default"/>
      </w:rPr>
    </w:lvl>
    <w:lvl w:ilvl="2" w:tplc="820A553E" w:tentative="1">
      <w:start w:val="1"/>
      <w:numFmt w:val="bullet"/>
      <w:lvlText w:val="•"/>
      <w:lvlJc w:val="left"/>
      <w:pPr>
        <w:tabs>
          <w:tab w:val="num" w:pos="2160"/>
        </w:tabs>
        <w:ind w:left="2160" w:hanging="360"/>
      </w:pPr>
      <w:rPr>
        <w:rFonts w:ascii="Arial" w:hAnsi="Arial" w:hint="default"/>
      </w:rPr>
    </w:lvl>
    <w:lvl w:ilvl="3" w:tplc="A73E73B4" w:tentative="1">
      <w:start w:val="1"/>
      <w:numFmt w:val="bullet"/>
      <w:lvlText w:val="•"/>
      <w:lvlJc w:val="left"/>
      <w:pPr>
        <w:tabs>
          <w:tab w:val="num" w:pos="2880"/>
        </w:tabs>
        <w:ind w:left="2880" w:hanging="360"/>
      </w:pPr>
      <w:rPr>
        <w:rFonts w:ascii="Arial" w:hAnsi="Arial" w:hint="default"/>
      </w:rPr>
    </w:lvl>
    <w:lvl w:ilvl="4" w:tplc="44E8C6A0" w:tentative="1">
      <w:start w:val="1"/>
      <w:numFmt w:val="bullet"/>
      <w:lvlText w:val="•"/>
      <w:lvlJc w:val="left"/>
      <w:pPr>
        <w:tabs>
          <w:tab w:val="num" w:pos="3600"/>
        </w:tabs>
        <w:ind w:left="3600" w:hanging="360"/>
      </w:pPr>
      <w:rPr>
        <w:rFonts w:ascii="Arial" w:hAnsi="Arial" w:hint="default"/>
      </w:rPr>
    </w:lvl>
    <w:lvl w:ilvl="5" w:tplc="87E6F00E" w:tentative="1">
      <w:start w:val="1"/>
      <w:numFmt w:val="bullet"/>
      <w:lvlText w:val="•"/>
      <w:lvlJc w:val="left"/>
      <w:pPr>
        <w:tabs>
          <w:tab w:val="num" w:pos="4320"/>
        </w:tabs>
        <w:ind w:left="4320" w:hanging="360"/>
      </w:pPr>
      <w:rPr>
        <w:rFonts w:ascii="Arial" w:hAnsi="Arial" w:hint="default"/>
      </w:rPr>
    </w:lvl>
    <w:lvl w:ilvl="6" w:tplc="ECCE2668" w:tentative="1">
      <w:start w:val="1"/>
      <w:numFmt w:val="bullet"/>
      <w:lvlText w:val="•"/>
      <w:lvlJc w:val="left"/>
      <w:pPr>
        <w:tabs>
          <w:tab w:val="num" w:pos="5040"/>
        </w:tabs>
        <w:ind w:left="5040" w:hanging="360"/>
      </w:pPr>
      <w:rPr>
        <w:rFonts w:ascii="Arial" w:hAnsi="Arial" w:hint="default"/>
      </w:rPr>
    </w:lvl>
    <w:lvl w:ilvl="7" w:tplc="DD0A5BD6" w:tentative="1">
      <w:start w:val="1"/>
      <w:numFmt w:val="bullet"/>
      <w:lvlText w:val="•"/>
      <w:lvlJc w:val="left"/>
      <w:pPr>
        <w:tabs>
          <w:tab w:val="num" w:pos="5760"/>
        </w:tabs>
        <w:ind w:left="5760" w:hanging="360"/>
      </w:pPr>
      <w:rPr>
        <w:rFonts w:ascii="Arial" w:hAnsi="Arial" w:hint="default"/>
      </w:rPr>
    </w:lvl>
    <w:lvl w:ilvl="8" w:tplc="990602DE" w:tentative="1">
      <w:start w:val="1"/>
      <w:numFmt w:val="bullet"/>
      <w:lvlText w:val="•"/>
      <w:lvlJc w:val="left"/>
      <w:pPr>
        <w:tabs>
          <w:tab w:val="num" w:pos="6480"/>
        </w:tabs>
        <w:ind w:left="6480" w:hanging="360"/>
      </w:pPr>
      <w:rPr>
        <w:rFonts w:ascii="Arial" w:hAnsi="Arial" w:hint="default"/>
      </w:rPr>
    </w:lvl>
  </w:abstractNum>
  <w:abstractNum w:abstractNumId="9">
    <w:nsid w:val="5CFD1F0E"/>
    <w:multiLevelType w:val="hybridMultilevel"/>
    <w:tmpl w:val="4B34A200"/>
    <w:lvl w:ilvl="0" w:tplc="4EEADD70">
      <w:start w:val="1"/>
      <w:numFmt w:val="bullet"/>
      <w:lvlText w:val=""/>
      <w:lvlJc w:val="left"/>
      <w:pPr>
        <w:tabs>
          <w:tab w:val="num" w:pos="720"/>
        </w:tabs>
        <w:ind w:left="720" w:hanging="360"/>
      </w:pPr>
      <w:rPr>
        <w:rFonts w:ascii="Wingdings" w:hAnsi="Wingdings" w:hint="default"/>
      </w:rPr>
    </w:lvl>
    <w:lvl w:ilvl="1" w:tplc="97727158" w:tentative="1">
      <w:start w:val="1"/>
      <w:numFmt w:val="bullet"/>
      <w:lvlText w:val=""/>
      <w:lvlJc w:val="left"/>
      <w:pPr>
        <w:tabs>
          <w:tab w:val="num" w:pos="1440"/>
        </w:tabs>
        <w:ind w:left="1440" w:hanging="360"/>
      </w:pPr>
      <w:rPr>
        <w:rFonts w:ascii="Wingdings" w:hAnsi="Wingdings" w:hint="default"/>
      </w:rPr>
    </w:lvl>
    <w:lvl w:ilvl="2" w:tplc="D752FCA8" w:tentative="1">
      <w:start w:val="1"/>
      <w:numFmt w:val="bullet"/>
      <w:lvlText w:val=""/>
      <w:lvlJc w:val="left"/>
      <w:pPr>
        <w:tabs>
          <w:tab w:val="num" w:pos="2160"/>
        </w:tabs>
        <w:ind w:left="2160" w:hanging="360"/>
      </w:pPr>
      <w:rPr>
        <w:rFonts w:ascii="Wingdings" w:hAnsi="Wingdings" w:hint="default"/>
      </w:rPr>
    </w:lvl>
    <w:lvl w:ilvl="3" w:tplc="6750EF08" w:tentative="1">
      <w:start w:val="1"/>
      <w:numFmt w:val="bullet"/>
      <w:lvlText w:val=""/>
      <w:lvlJc w:val="left"/>
      <w:pPr>
        <w:tabs>
          <w:tab w:val="num" w:pos="2880"/>
        </w:tabs>
        <w:ind w:left="2880" w:hanging="360"/>
      </w:pPr>
      <w:rPr>
        <w:rFonts w:ascii="Wingdings" w:hAnsi="Wingdings" w:hint="default"/>
      </w:rPr>
    </w:lvl>
    <w:lvl w:ilvl="4" w:tplc="B386BCEE" w:tentative="1">
      <w:start w:val="1"/>
      <w:numFmt w:val="bullet"/>
      <w:lvlText w:val=""/>
      <w:lvlJc w:val="left"/>
      <w:pPr>
        <w:tabs>
          <w:tab w:val="num" w:pos="3600"/>
        </w:tabs>
        <w:ind w:left="3600" w:hanging="360"/>
      </w:pPr>
      <w:rPr>
        <w:rFonts w:ascii="Wingdings" w:hAnsi="Wingdings" w:hint="default"/>
      </w:rPr>
    </w:lvl>
    <w:lvl w:ilvl="5" w:tplc="6A04ADF6" w:tentative="1">
      <w:start w:val="1"/>
      <w:numFmt w:val="bullet"/>
      <w:lvlText w:val=""/>
      <w:lvlJc w:val="left"/>
      <w:pPr>
        <w:tabs>
          <w:tab w:val="num" w:pos="4320"/>
        </w:tabs>
        <w:ind w:left="4320" w:hanging="360"/>
      </w:pPr>
      <w:rPr>
        <w:rFonts w:ascii="Wingdings" w:hAnsi="Wingdings" w:hint="default"/>
      </w:rPr>
    </w:lvl>
    <w:lvl w:ilvl="6" w:tplc="5E009494" w:tentative="1">
      <w:start w:val="1"/>
      <w:numFmt w:val="bullet"/>
      <w:lvlText w:val=""/>
      <w:lvlJc w:val="left"/>
      <w:pPr>
        <w:tabs>
          <w:tab w:val="num" w:pos="5040"/>
        </w:tabs>
        <w:ind w:left="5040" w:hanging="360"/>
      </w:pPr>
      <w:rPr>
        <w:rFonts w:ascii="Wingdings" w:hAnsi="Wingdings" w:hint="default"/>
      </w:rPr>
    </w:lvl>
    <w:lvl w:ilvl="7" w:tplc="9F0888FC" w:tentative="1">
      <w:start w:val="1"/>
      <w:numFmt w:val="bullet"/>
      <w:lvlText w:val=""/>
      <w:lvlJc w:val="left"/>
      <w:pPr>
        <w:tabs>
          <w:tab w:val="num" w:pos="5760"/>
        </w:tabs>
        <w:ind w:left="5760" w:hanging="360"/>
      </w:pPr>
      <w:rPr>
        <w:rFonts w:ascii="Wingdings" w:hAnsi="Wingdings" w:hint="default"/>
      </w:rPr>
    </w:lvl>
    <w:lvl w:ilvl="8" w:tplc="B168657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0"/>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C28"/>
    <w:rsid w:val="00021232"/>
    <w:rsid w:val="000462A8"/>
    <w:rsid w:val="0008054C"/>
    <w:rsid w:val="00094CA9"/>
    <w:rsid w:val="000C5A1D"/>
    <w:rsid w:val="000F420C"/>
    <w:rsid w:val="00125B76"/>
    <w:rsid w:val="00172C4D"/>
    <w:rsid w:val="00191C73"/>
    <w:rsid w:val="001A0E7F"/>
    <w:rsid w:val="001B15B3"/>
    <w:rsid w:val="0022568A"/>
    <w:rsid w:val="00247413"/>
    <w:rsid w:val="002643AC"/>
    <w:rsid w:val="0029422A"/>
    <w:rsid w:val="0033455C"/>
    <w:rsid w:val="00353802"/>
    <w:rsid w:val="0036263E"/>
    <w:rsid w:val="00390958"/>
    <w:rsid w:val="0039379A"/>
    <w:rsid w:val="003A01D9"/>
    <w:rsid w:val="003B14FE"/>
    <w:rsid w:val="003C5D2D"/>
    <w:rsid w:val="003F40D9"/>
    <w:rsid w:val="00460146"/>
    <w:rsid w:val="00465379"/>
    <w:rsid w:val="004720B9"/>
    <w:rsid w:val="00480E04"/>
    <w:rsid w:val="004C3E9C"/>
    <w:rsid w:val="004D63E5"/>
    <w:rsid w:val="004E2045"/>
    <w:rsid w:val="004F7A18"/>
    <w:rsid w:val="00552075"/>
    <w:rsid w:val="0058224A"/>
    <w:rsid w:val="00587118"/>
    <w:rsid w:val="005B6113"/>
    <w:rsid w:val="0060685F"/>
    <w:rsid w:val="0069671A"/>
    <w:rsid w:val="00702452"/>
    <w:rsid w:val="00736D84"/>
    <w:rsid w:val="007920CF"/>
    <w:rsid w:val="007D51CE"/>
    <w:rsid w:val="00800881"/>
    <w:rsid w:val="0088759B"/>
    <w:rsid w:val="008972F2"/>
    <w:rsid w:val="008C6730"/>
    <w:rsid w:val="008E4BEA"/>
    <w:rsid w:val="0090203E"/>
    <w:rsid w:val="00A83FAB"/>
    <w:rsid w:val="00AA466D"/>
    <w:rsid w:val="00AE1215"/>
    <w:rsid w:val="00B10A62"/>
    <w:rsid w:val="00B40CD5"/>
    <w:rsid w:val="00B66453"/>
    <w:rsid w:val="00BC79D3"/>
    <w:rsid w:val="00C440A7"/>
    <w:rsid w:val="00C6276C"/>
    <w:rsid w:val="00CA34ED"/>
    <w:rsid w:val="00CD628C"/>
    <w:rsid w:val="00D03C28"/>
    <w:rsid w:val="00D213E5"/>
    <w:rsid w:val="00D566EB"/>
    <w:rsid w:val="00D8034C"/>
    <w:rsid w:val="00DA7BB2"/>
    <w:rsid w:val="00DE3AC1"/>
    <w:rsid w:val="00DF4319"/>
    <w:rsid w:val="00E707D6"/>
    <w:rsid w:val="00EA72E4"/>
    <w:rsid w:val="00EB1192"/>
    <w:rsid w:val="00EE2CDF"/>
    <w:rsid w:val="00F747E6"/>
    <w:rsid w:val="00F80D95"/>
    <w:rsid w:val="00F85550"/>
    <w:rsid w:val="00FC17AF"/>
    <w:rsid w:val="00FD41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C2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D03C28"/>
    <w:pPr>
      <w:ind w:leftChars="200" w:left="480"/>
    </w:pPr>
    <w:rPr>
      <w:rFonts w:ascii="Calibri" w:hAnsi="Calibri"/>
      <w:szCs w:val="22"/>
    </w:rPr>
  </w:style>
  <w:style w:type="paragraph" w:styleId="a3">
    <w:name w:val="List Paragraph"/>
    <w:basedOn w:val="a"/>
    <w:qFormat/>
    <w:rsid w:val="003F40D9"/>
    <w:pPr>
      <w:ind w:leftChars="200" w:left="480"/>
    </w:pPr>
    <w:rPr>
      <w:rFonts w:ascii="Calibri" w:hAnsi="Calibri"/>
      <w:szCs w:val="22"/>
    </w:rPr>
  </w:style>
  <w:style w:type="paragraph" w:styleId="a4">
    <w:name w:val="header"/>
    <w:basedOn w:val="a"/>
    <w:link w:val="a5"/>
    <w:rsid w:val="00F85550"/>
    <w:pPr>
      <w:tabs>
        <w:tab w:val="center" w:pos="4153"/>
        <w:tab w:val="right" w:pos="8306"/>
      </w:tabs>
      <w:snapToGrid w:val="0"/>
    </w:pPr>
    <w:rPr>
      <w:sz w:val="20"/>
      <w:szCs w:val="20"/>
    </w:rPr>
  </w:style>
  <w:style w:type="character" w:customStyle="1" w:styleId="a5">
    <w:name w:val="頁首 字元"/>
    <w:link w:val="a4"/>
    <w:rsid w:val="00F85550"/>
    <w:rPr>
      <w:kern w:val="2"/>
    </w:rPr>
  </w:style>
  <w:style w:type="paragraph" w:styleId="a6">
    <w:name w:val="footer"/>
    <w:basedOn w:val="a"/>
    <w:link w:val="a7"/>
    <w:rsid w:val="00F85550"/>
    <w:pPr>
      <w:tabs>
        <w:tab w:val="center" w:pos="4153"/>
        <w:tab w:val="right" w:pos="8306"/>
      </w:tabs>
      <w:snapToGrid w:val="0"/>
    </w:pPr>
    <w:rPr>
      <w:sz w:val="20"/>
      <w:szCs w:val="20"/>
    </w:rPr>
  </w:style>
  <w:style w:type="character" w:customStyle="1" w:styleId="a7">
    <w:name w:val="頁尾 字元"/>
    <w:link w:val="a6"/>
    <w:rsid w:val="00F85550"/>
    <w:rPr>
      <w:kern w:val="2"/>
    </w:rPr>
  </w:style>
  <w:style w:type="character" w:styleId="a8">
    <w:name w:val="Hyperlink"/>
    <w:rsid w:val="00191C73"/>
    <w:rPr>
      <w:strike w:val="0"/>
      <w:dstrike w:val="0"/>
      <w:color w:val="0000FF"/>
      <w:u w:val="none"/>
      <w:effect w:val="none"/>
    </w:rPr>
  </w:style>
  <w:style w:type="paragraph" w:customStyle="1" w:styleId="a9">
    <w:name w:val="表格內容"/>
    <w:basedOn w:val="a"/>
    <w:rsid w:val="00E707D6"/>
    <w:pPr>
      <w:suppressLineNumbers/>
      <w:suppressAutoHyphens/>
    </w:pPr>
    <w:rPr>
      <w:kern w:val="1"/>
    </w:rPr>
  </w:style>
  <w:style w:type="paragraph" w:styleId="Web">
    <w:name w:val="Normal (Web)"/>
    <w:basedOn w:val="a"/>
    <w:rsid w:val="005B6113"/>
    <w:pPr>
      <w:widowControl/>
      <w:spacing w:before="100" w:beforeAutospacing="1" w:after="119"/>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tuh.gov.tw/e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Links>
    <vt:vector size="6" baseType="variant">
      <vt:variant>
        <vt:i4>6029314</vt:i4>
      </vt:variant>
      <vt:variant>
        <vt:i4>0</vt:i4>
      </vt:variant>
      <vt:variant>
        <vt:i4>0</vt:i4>
      </vt:variant>
      <vt:variant>
        <vt:i4>5</vt:i4>
      </vt:variant>
      <vt:variant>
        <vt:lpwstr>http://intra.ntuh.gov.tw/eom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2013年台大醫院胸腔腫瘤多專科診療團隊</dc:title>
  <dc:creator>100305</dc:creator>
  <cp:lastModifiedBy>YLH_User</cp:lastModifiedBy>
  <cp:revision>6</cp:revision>
  <dcterms:created xsi:type="dcterms:W3CDTF">2017-08-25T06:00:00Z</dcterms:created>
  <dcterms:modified xsi:type="dcterms:W3CDTF">2020-01-10T02:05:00Z</dcterms:modified>
</cp:coreProperties>
</file>