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05C4C" w14:textId="77777777" w:rsidR="00B36357" w:rsidRDefault="00B36357" w:rsidP="00B36357">
      <w:r>
        <w:t xml:space="preserve">Abstract: </w:t>
      </w:r>
    </w:p>
    <w:p w14:paraId="51318542" w14:textId="77777777" w:rsidR="00B36357" w:rsidRDefault="00B36357" w:rsidP="00B36357"/>
    <w:p w14:paraId="73D210E9" w14:textId="77777777" w:rsidR="00B36357" w:rsidRDefault="00B36357" w:rsidP="00B36357">
      <w:r>
        <w:t>Taiwan Experience, Global Insights: Shaping the Future of Lung Cancer Care</w:t>
      </w:r>
    </w:p>
    <w:p w14:paraId="5CDFB5FA" w14:textId="77777777" w:rsidR="00B36357" w:rsidRDefault="00B36357" w:rsidP="00B36357"/>
    <w:p w14:paraId="0D551110" w14:textId="77777777" w:rsidR="00B36357" w:rsidRDefault="00B36357" w:rsidP="00B36357">
      <w:r>
        <w:t>Supporting better outcomes for patients with lung cancer requires meaningful scientific exchange and thoughtful treatment decisions throughout the patient journey. This webinar brings together Taiwanese experts to explore long-term treatment planning in EGFR-mutated non-small cell lung cancer (NSCLC) and discuss how insights from WCLC 2026 may inform daily clinical practice in Taiwan.</w:t>
      </w:r>
    </w:p>
    <w:p w14:paraId="137C531B" w14:textId="77777777" w:rsidR="00B36357" w:rsidRDefault="00B36357" w:rsidP="00B36357"/>
    <w:p w14:paraId="238CE071" w14:textId="77777777" w:rsidR="00B36357" w:rsidRDefault="00B36357" w:rsidP="00B36357">
      <w:r>
        <w:t>The program will examine how decisions at each stage of care can contribute to the goal of long-term survival. Discussions will consider individualized treatment selection, balancing efficacy and tolerability, and planning for subsequent treatment options in the context of patients’ needs. A dedicated WCLC 2026 session will review selected findings and their relevance to Taiwan’s clinical setting.</w:t>
      </w:r>
    </w:p>
    <w:p w14:paraId="6E8B1A47" w14:textId="77777777" w:rsidR="00B36357" w:rsidRDefault="00B36357" w:rsidP="00B36357"/>
    <w:p w14:paraId="5DFB6DFD" w14:textId="697BFDB7" w:rsidR="00D70972" w:rsidRDefault="00B36357" w:rsidP="00B36357">
      <w:r>
        <w:t>Through scientific exchange and clinical discussion, this webinar aims to support evidence-informed decisions and encourage a comprehensive view of treatment that extends beyond the initial therapy to the patient’s long-term journey.</w:t>
      </w:r>
    </w:p>
    <w:sectPr w:rsidR="00D7097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0C1F2" w14:textId="77777777" w:rsidR="00476658" w:rsidRDefault="00476658" w:rsidP="00B36357">
      <w:pPr>
        <w:spacing w:after="0" w:line="240" w:lineRule="auto"/>
      </w:pPr>
      <w:r>
        <w:separator/>
      </w:r>
    </w:p>
  </w:endnote>
  <w:endnote w:type="continuationSeparator" w:id="0">
    <w:p w14:paraId="38D0CA8E" w14:textId="77777777" w:rsidR="00476658" w:rsidRDefault="00476658" w:rsidP="00B363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0E8A2" w14:textId="77777777" w:rsidR="00476658" w:rsidRDefault="00476658" w:rsidP="00B36357">
      <w:pPr>
        <w:spacing w:after="0" w:line="240" w:lineRule="auto"/>
      </w:pPr>
      <w:r>
        <w:separator/>
      </w:r>
    </w:p>
  </w:footnote>
  <w:footnote w:type="continuationSeparator" w:id="0">
    <w:p w14:paraId="082CF17E" w14:textId="77777777" w:rsidR="00476658" w:rsidRDefault="00476658" w:rsidP="00B363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3BD"/>
    <w:rsid w:val="00261BF8"/>
    <w:rsid w:val="002F51D4"/>
    <w:rsid w:val="00476658"/>
    <w:rsid w:val="00B361E8"/>
    <w:rsid w:val="00B36357"/>
    <w:rsid w:val="00B743BD"/>
    <w:rsid w:val="00C224A8"/>
    <w:rsid w:val="00CB07A7"/>
    <w:rsid w:val="00D70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DAB5B2"/>
  <w15:chartTrackingRefBased/>
  <w15:docId w15:val="{5A2380F0-8614-46B1-9D76-269FE4352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743B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743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43BD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43BD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743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743BD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743BD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743BD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743BD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743BD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B743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B743BD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B743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B743BD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B743BD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B743BD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B743BD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B743B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743BD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B743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743B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B743B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743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B743B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743B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743B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743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B743B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B743BD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B363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B36357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B363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B3635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軒吟 台灣肺癌研究學會</dc:creator>
  <cp:keywords/>
  <dc:description/>
  <cp:lastModifiedBy>軒吟 台灣肺癌研究學會</cp:lastModifiedBy>
  <cp:revision>3</cp:revision>
  <dcterms:created xsi:type="dcterms:W3CDTF">2026-09-17T09:15:00Z</dcterms:created>
  <dcterms:modified xsi:type="dcterms:W3CDTF">2026-09-17T09:16:00Z</dcterms:modified>
</cp:coreProperties>
</file>