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BD0C3" w14:textId="77777777" w:rsidR="005B7A53" w:rsidRDefault="005B7A53" w:rsidP="005B7A53">
      <w:pPr>
        <w:rPr>
          <w:rFonts w:hint="eastAsia"/>
        </w:rPr>
      </w:pPr>
      <w:r>
        <w:rPr>
          <w:rFonts w:hint="eastAsia"/>
        </w:rPr>
        <w:t>會議摘要</w:t>
      </w:r>
    </w:p>
    <w:p w14:paraId="5074BCD4" w14:textId="77777777" w:rsidR="005B7A53" w:rsidRDefault="005B7A53" w:rsidP="005B7A53">
      <w:r>
        <w:t>Alex Forum 2026 was a multidisciplinary scientific meeting focusing on the evolving treatment landscape of lung cancer, with particular emphasis on precision medicine, targeted therapies, immunotherapy, and perioperative management of non-small cell lung cancer (NSCLC). The program gathered leading experts from thoracic oncology, pulmonology, and thoracic surgery to discuss the latest evidence and clinical applications that may improve patient outcomes.</w:t>
      </w:r>
    </w:p>
    <w:p w14:paraId="297CF1C0" w14:textId="77777777" w:rsidR="005B7A53" w:rsidRDefault="005B7A53" w:rsidP="005B7A53"/>
    <w:p w14:paraId="39531955" w14:textId="77777777" w:rsidR="005B7A53" w:rsidRDefault="005B7A53" w:rsidP="005B7A53">
      <w:r>
        <w:t>The meeting commenced with an update on recent advances in immunotherapy for lung cancer, highlighting emerging treatment strategies, novel therapeutic targets, and future directions in immuno-oncology. Participants reviewed the latest developments and discussed how evolving evidence may influence treatment paradigms in clinical practice.</w:t>
      </w:r>
    </w:p>
    <w:p w14:paraId="43FFAFC4" w14:textId="77777777" w:rsidR="005B7A53" w:rsidRDefault="005B7A53" w:rsidP="005B7A53"/>
    <w:p w14:paraId="4306BC88" w14:textId="77777777" w:rsidR="005B7A53" w:rsidRDefault="005B7A53" w:rsidP="005B7A53">
      <w:r>
        <w:t>A dedicated session addressed quality-of-life (QoL)-driven management in ALK-positive NSCLC. The discussion focused on cardiovascular, central nervous system, and metabolic adverse events associated with ALK tyrosine kinase inhibitors (TKIs), emphasizing the importance of balancing efficacy with long-term tolerability to optimize patient outcomes.</w:t>
      </w:r>
    </w:p>
    <w:p w14:paraId="747B8E6F" w14:textId="77777777" w:rsidR="005B7A53" w:rsidRDefault="005B7A53" w:rsidP="005B7A53"/>
    <w:p w14:paraId="43144125" w14:textId="77777777" w:rsidR="005B7A53" w:rsidRDefault="005B7A53" w:rsidP="005B7A53">
      <w:r>
        <w:t>Attendees also received comprehensive updates from the 2026 ASCO Annual Meeting, including key findings from recent clinical trials and their implications for the management of thoracic malignancies. Long-term clinical outcomes in ALK-positive lung cancer were further explored, with particular attention to progression-free survival (PFS), overall survival (OS), and treatment sequencing strategies.</w:t>
      </w:r>
    </w:p>
    <w:p w14:paraId="7B13F5FD" w14:textId="77777777" w:rsidR="005B7A53" w:rsidRDefault="005B7A53" w:rsidP="005B7A53"/>
    <w:p w14:paraId="47D0EB0A" w14:textId="77777777" w:rsidR="005B7A53" w:rsidRDefault="005B7A53" w:rsidP="005B7A53">
      <w:r>
        <w:t xml:space="preserve">The second day focused on early-stage and </w:t>
      </w:r>
      <w:proofErr w:type="spellStart"/>
      <w:r>
        <w:t>resectable</w:t>
      </w:r>
      <w:proofErr w:type="spellEnd"/>
      <w:r>
        <w:t xml:space="preserve"> NSCLC. Experts highlighted the importance of molecular testing in resected NSCLC to identify </w:t>
      </w:r>
      <w:r>
        <w:lastRenderedPageBreak/>
        <w:t>actionable genomic alterations and ensure timely access to targeted therapies. Recent advances in small cell lung cancer (SCLC) were also reviewed, including emerging therapeutic approaches and evolving standards of care.</w:t>
      </w:r>
    </w:p>
    <w:p w14:paraId="34D5A97D" w14:textId="77777777" w:rsidR="005B7A53" w:rsidRDefault="005B7A53" w:rsidP="005B7A53"/>
    <w:p w14:paraId="03D3E57F" w14:textId="77777777" w:rsidR="005B7A53" w:rsidRDefault="005B7A53" w:rsidP="005B7A53">
      <w:r>
        <w:t xml:space="preserve">Further sessions examined the growing role of adjuvant and perioperative TKI therapy in </w:t>
      </w:r>
      <w:proofErr w:type="spellStart"/>
      <w:r>
        <w:t>resectable</w:t>
      </w:r>
      <w:proofErr w:type="spellEnd"/>
      <w:r>
        <w:t xml:space="preserve"> NSCLC. Discussions centered on evidence supporting targeted treatment after surgery, the integration of perioperative strategies into clinical practice, and the potential to improve long-term disease control through precision medicine approaches.</w:t>
      </w:r>
    </w:p>
    <w:p w14:paraId="7317FEBE" w14:textId="77777777" w:rsidR="005B7A53" w:rsidRDefault="005B7A53" w:rsidP="005B7A53"/>
    <w:p w14:paraId="7A94B568" w14:textId="77777777" w:rsidR="005B7A53" w:rsidRDefault="005B7A53" w:rsidP="005B7A53">
      <w:r>
        <w:t>Overall, the meeting provided participants with a comprehensive overview of the latest developments in lung cancer management, reinforcing the importance of molecular diagnostics, personalized treatment selection, toxicity management, and multidisciplinary collaboration in optimizing patient care.</w:t>
      </w:r>
    </w:p>
    <w:p w14:paraId="360056AF" w14:textId="77777777" w:rsidR="005B7A53" w:rsidRDefault="005B7A53" w:rsidP="005B7A53"/>
    <w:p w14:paraId="460A53D0" w14:textId="77777777" w:rsidR="005B7A53" w:rsidRDefault="005B7A53" w:rsidP="005B7A53">
      <w:r>
        <w:t>Learning Objectives:</w:t>
      </w:r>
    </w:p>
    <w:p w14:paraId="153E1D0B" w14:textId="77777777" w:rsidR="005B7A53" w:rsidRDefault="005B7A53" w:rsidP="005B7A53"/>
    <w:p w14:paraId="0AECF79B" w14:textId="77777777" w:rsidR="005B7A53" w:rsidRDefault="005B7A53" w:rsidP="005B7A53">
      <w:r>
        <w:t>Review the latest advances in immunotherapy and targeted therapies for lung cancer.</w:t>
      </w:r>
    </w:p>
    <w:p w14:paraId="3FE3A929" w14:textId="77777777" w:rsidR="005B7A53" w:rsidRDefault="005B7A53" w:rsidP="005B7A53">
      <w:r>
        <w:t>Understand the impact of treatment-related adverse events on quality of life and long-term outcomes in ALK-positive NSCLC.</w:t>
      </w:r>
    </w:p>
    <w:p w14:paraId="1BDD580C" w14:textId="77777777" w:rsidR="005B7A53" w:rsidRDefault="005B7A53" w:rsidP="005B7A53">
      <w:r>
        <w:t>Interpret key clinical data presented at the 2026 ASCO Annual Meeting and their relevance to clinical practice.</w:t>
      </w:r>
    </w:p>
    <w:p w14:paraId="15878925" w14:textId="77777777" w:rsidR="005B7A53" w:rsidRDefault="005B7A53" w:rsidP="005B7A53">
      <w:r>
        <w:t>Evaluate the role of molecular testing in resected NSCLC and its implications for precision medicine.</w:t>
      </w:r>
    </w:p>
    <w:p w14:paraId="0BA5208B" w14:textId="77777777" w:rsidR="005B7A53" w:rsidRDefault="005B7A53" w:rsidP="005B7A53">
      <w:r>
        <w:t xml:space="preserve">Discuss current evidence supporting adjuvant and perioperative targeted therapy strategies in </w:t>
      </w:r>
      <w:proofErr w:type="spellStart"/>
      <w:r>
        <w:t>resectable</w:t>
      </w:r>
      <w:proofErr w:type="spellEnd"/>
      <w:r>
        <w:t xml:space="preserve"> NSCLC.</w:t>
      </w:r>
    </w:p>
    <w:p w14:paraId="58E2C164" w14:textId="58DE2EA4" w:rsidR="001644A4" w:rsidRDefault="005B7A53" w:rsidP="005B7A53">
      <w:r>
        <w:t xml:space="preserve">Enhance multidisciplinary approaches to improve treatment outcomes across </w:t>
      </w:r>
      <w:r>
        <w:lastRenderedPageBreak/>
        <w:t>different stages of lung cancer.</w:t>
      </w:r>
    </w:p>
    <w:sectPr w:rsidR="001644A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A53"/>
    <w:rsid w:val="001644A4"/>
    <w:rsid w:val="001B0715"/>
    <w:rsid w:val="005B7A53"/>
    <w:rsid w:val="00BA0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63581"/>
  <w15:chartTrackingRefBased/>
  <w15:docId w15:val="{2B8FAAE3-6B35-4AAD-A40E-F675A4AC6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5B7A5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7A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B7A53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B7A53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B7A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B7A53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B7A53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B7A53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B7A53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5B7A53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5B7A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5B7A53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5B7A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5B7A53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5B7A53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5B7A53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5B7A53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5B7A5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B7A53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5B7A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B7A53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5B7A5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B7A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5B7A5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B7A5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B7A5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B7A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5B7A5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B7A5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1190</Words>
  <Characters>2047</Characters>
  <Application>Microsoft Office Word</Application>
  <DocSecurity>0</DocSecurity>
  <Lines>85</Lines>
  <Paragraphs>95</Paragraphs>
  <ScaleCrop>false</ScaleCrop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胸腔暨重症加護醫學會 台灣</dc:creator>
  <cp:keywords/>
  <dc:description/>
  <cp:lastModifiedBy>胸腔暨重症加護醫學會 台灣</cp:lastModifiedBy>
  <cp:revision>1</cp:revision>
  <dcterms:created xsi:type="dcterms:W3CDTF">2026-06-11T12:03:00Z</dcterms:created>
  <dcterms:modified xsi:type="dcterms:W3CDTF">2026-06-11T12:04:00Z</dcterms:modified>
</cp:coreProperties>
</file>