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64524" w14:textId="0B375158" w:rsidR="00204B12" w:rsidRPr="00204B12" w:rsidRDefault="00204B12" w:rsidP="00204B12">
      <w:pPr>
        <w:pStyle w:val="3"/>
        <w:shd w:val="clear" w:color="auto" w:fill="FFFFFF"/>
        <w:spacing w:before="75" w:after="150" w:line="240" w:lineRule="auto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204B12">
        <w:rPr>
          <w:rFonts w:ascii="標楷體" w:eastAsia="標楷體" w:hAnsi="標楷體"/>
          <w:color w:val="000000"/>
          <w:sz w:val="28"/>
          <w:szCs w:val="28"/>
        </w:rPr>
        <w:t>肺結節暨肺癌診治 跨院多專科研討會（TSTS系列講座）</w:t>
      </w:r>
    </w:p>
    <w:p w14:paraId="64385995" w14:textId="66E5D5CD" w:rsidR="00204B12" w:rsidRPr="00204B12" w:rsidRDefault="00204B12" w:rsidP="00204B12">
      <w:pPr>
        <w:spacing w:line="240" w:lineRule="auto"/>
        <w:jc w:val="center"/>
        <w:rPr>
          <w:rFonts w:ascii="標楷體" w:eastAsia="標楷體" w:hAnsi="標楷體" w:hint="eastAsia"/>
          <w:sz w:val="28"/>
          <w:szCs w:val="28"/>
        </w:rPr>
      </w:pPr>
      <w:r w:rsidRPr="00204B12">
        <w:rPr>
          <w:rFonts w:ascii="標楷體" w:eastAsia="標楷體" w:hAnsi="標楷體" w:hint="eastAsia"/>
          <w:sz w:val="28"/>
          <w:szCs w:val="28"/>
        </w:rPr>
        <w:t>摘要</w:t>
      </w:r>
    </w:p>
    <w:p w14:paraId="38227424" w14:textId="77777777" w:rsidR="00332B7E" w:rsidRPr="00204B12" w:rsidRDefault="00332B7E"/>
    <w:p w14:paraId="32881B49" w14:textId="77777777" w:rsidR="00332B7E" w:rsidRDefault="00332B7E">
      <w:pPr>
        <w:pStyle w:val="p1"/>
        <w:rPr>
          <w:rFonts w:hint="eastAsia"/>
        </w:rPr>
      </w:pPr>
      <w:r>
        <w:rPr>
          <w:rStyle w:val="s1"/>
        </w:rPr>
        <w:t xml:space="preserve">1. </w:t>
      </w:r>
      <w:r>
        <w:rPr>
          <w:rStyle w:val="s1"/>
        </w:rPr>
        <w:t>亞洲精</w:t>
      </w:r>
      <w:proofErr w:type="gramStart"/>
      <w:r>
        <w:rPr>
          <w:rStyle w:val="s1"/>
        </w:rPr>
        <w:t>準</w:t>
      </w:r>
      <w:proofErr w:type="gramEnd"/>
      <w:r>
        <w:rPr>
          <w:rStyle w:val="s1"/>
        </w:rPr>
        <w:t>肺癌篩檢</w:t>
      </w:r>
    </w:p>
    <w:p w14:paraId="2A8B9B75" w14:textId="77777777" w:rsidR="00332B7E" w:rsidRDefault="00332B7E">
      <w:pPr>
        <w:pStyle w:val="p2"/>
        <w:rPr>
          <w:rFonts w:hint="eastAsia"/>
        </w:rPr>
      </w:pPr>
      <w:r>
        <w:rPr>
          <w:rStyle w:val="s2"/>
        </w:rPr>
        <w:t>本主題聚焦亞洲族群肺癌篩檢策略之優化，特別強調低劑量電腦斷層（</w:t>
      </w:r>
      <w:r>
        <w:rPr>
          <w:rStyle w:val="s2"/>
        </w:rPr>
        <w:t>LDCT</w:t>
      </w:r>
      <w:r>
        <w:rPr>
          <w:rStyle w:val="s2"/>
        </w:rPr>
        <w:t>）在高風險族群中的應用價值。相較西方族群，亞洲地區非吸菸肺癌比例較高，顯示傳統以吸菸史為主的篩檢條件可能不足。因此，需納入家族史、環境暴露（如</w:t>
      </w:r>
      <w:r>
        <w:rPr>
          <w:rStyle w:val="s2"/>
        </w:rPr>
        <w:t>PM2.5</w:t>
      </w:r>
      <w:r>
        <w:rPr>
          <w:rStyle w:val="s2"/>
        </w:rPr>
        <w:t>）、職業因子與基因風險評估，建立更貼合本地流行病學的篩檢模型。</w:t>
      </w:r>
      <w:proofErr w:type="gramStart"/>
      <w:r>
        <w:rPr>
          <w:rStyle w:val="s2"/>
        </w:rPr>
        <w:t>此外，精準</w:t>
      </w:r>
      <w:proofErr w:type="gramEnd"/>
      <w:r>
        <w:rPr>
          <w:rStyle w:val="s2"/>
        </w:rPr>
        <w:t>篩檢亦包括影像</w:t>
      </w:r>
      <w:r>
        <w:rPr>
          <w:rStyle w:val="s2"/>
        </w:rPr>
        <w:t>AI</w:t>
      </w:r>
      <w:r>
        <w:rPr>
          <w:rStyle w:val="s2"/>
        </w:rPr>
        <w:t>輔助判讀、風險分層管理及追蹤策略優化，以降低偽陽性與過度醫療。透過整合生物標記（</w:t>
      </w:r>
      <w:r>
        <w:rPr>
          <w:rStyle w:val="s2"/>
        </w:rPr>
        <w:t>liquid biopsy</w:t>
      </w:r>
      <w:r>
        <w:rPr>
          <w:rStyle w:val="s2"/>
        </w:rPr>
        <w:t>）與風險預測模型，可提升早期偵測率與臨床決策效率，最終目標為降低肺癌死亡率並提升篩檢成本效益。</w:t>
      </w:r>
    </w:p>
    <w:p w14:paraId="48D7AC79" w14:textId="77777777" w:rsidR="00332B7E" w:rsidRDefault="00332B7E">
      <w:pPr>
        <w:pStyle w:val="p3"/>
      </w:pPr>
    </w:p>
    <w:p w14:paraId="1500770D" w14:textId="77777777" w:rsidR="00332B7E" w:rsidRDefault="00332B7E">
      <w:pPr>
        <w:pStyle w:val="p4"/>
      </w:pPr>
      <w:r>
        <w:rPr>
          <w:rStyle w:val="s3"/>
        </w:rPr>
        <w:t>---</w:t>
      </w:r>
    </w:p>
    <w:p w14:paraId="4DE3E013" w14:textId="77777777" w:rsidR="00332B7E" w:rsidRDefault="00332B7E">
      <w:pPr>
        <w:pStyle w:val="p5"/>
      </w:pPr>
    </w:p>
    <w:p w14:paraId="3A181524" w14:textId="77777777" w:rsidR="00332B7E" w:rsidRDefault="00332B7E">
      <w:pPr>
        <w:pStyle w:val="p1"/>
        <w:rPr>
          <w:rFonts w:hint="eastAsia"/>
        </w:rPr>
      </w:pPr>
      <w:r>
        <w:rPr>
          <w:rStyle w:val="s1"/>
        </w:rPr>
        <w:t xml:space="preserve">2. </w:t>
      </w:r>
      <w:r>
        <w:rPr>
          <w:rStyle w:val="s1"/>
        </w:rPr>
        <w:t>低劑量</w:t>
      </w:r>
      <w:r>
        <w:rPr>
          <w:rStyle w:val="s1"/>
        </w:rPr>
        <w:t>CT</w:t>
      </w:r>
      <w:r>
        <w:rPr>
          <w:rStyle w:val="s1"/>
        </w:rPr>
        <w:t>肺結節與病理診斷（單一中心經驗）</w:t>
      </w:r>
    </w:p>
    <w:p w14:paraId="48EFD08E" w14:textId="77777777" w:rsidR="00332B7E" w:rsidRDefault="00332B7E">
      <w:pPr>
        <w:pStyle w:val="p2"/>
        <w:rPr>
          <w:rFonts w:hint="eastAsia"/>
        </w:rPr>
      </w:pPr>
      <w:r>
        <w:rPr>
          <w:rStyle w:val="s2"/>
        </w:rPr>
        <w:t>本主題分享單一醫學中心在</w:t>
      </w:r>
      <w:r>
        <w:rPr>
          <w:rStyle w:val="s2"/>
        </w:rPr>
        <w:t>LDCT</w:t>
      </w:r>
      <w:r>
        <w:rPr>
          <w:rStyle w:val="s2"/>
        </w:rPr>
        <w:t>偵測肺結節後的診斷流程與臨床決策實務。重點涵蓋結節風險分層（</w:t>
      </w:r>
      <w:r>
        <w:rPr>
          <w:rStyle w:val="s2"/>
        </w:rPr>
        <w:t>solid</w:t>
      </w:r>
      <w:r>
        <w:rPr>
          <w:rStyle w:val="s2"/>
        </w:rPr>
        <w:t>、</w:t>
      </w:r>
      <w:r>
        <w:rPr>
          <w:rStyle w:val="s2"/>
        </w:rPr>
        <w:t>subsolid</w:t>
      </w:r>
      <w:r>
        <w:rPr>
          <w:rStyle w:val="s2"/>
        </w:rPr>
        <w:t>、</w:t>
      </w:r>
      <w:r>
        <w:rPr>
          <w:rStyle w:val="s2"/>
        </w:rPr>
        <w:t>GGN</w:t>
      </w:r>
      <w:r>
        <w:rPr>
          <w:rStyle w:val="s2"/>
        </w:rPr>
        <w:t>）、影像特徵判讀（大小、邊緣、成長速率）以及後續追蹤或侵入性檢查（如經皮切片、支氣管鏡導航）。同時結合病理診斷，探討</w:t>
      </w:r>
      <w:proofErr w:type="gramStart"/>
      <w:r>
        <w:rPr>
          <w:rStyle w:val="s2"/>
        </w:rPr>
        <w:t>早期肺</w:t>
      </w:r>
      <w:proofErr w:type="gramEnd"/>
      <w:r>
        <w:rPr>
          <w:rStyle w:val="s2"/>
        </w:rPr>
        <w:t>腺癌（</w:t>
      </w:r>
      <w:r>
        <w:rPr>
          <w:rStyle w:val="s2"/>
        </w:rPr>
        <w:t>AIS</w:t>
      </w:r>
      <w:r>
        <w:rPr>
          <w:rStyle w:val="s2"/>
        </w:rPr>
        <w:t>、</w:t>
      </w:r>
      <w:r>
        <w:rPr>
          <w:rStyle w:val="s2"/>
        </w:rPr>
        <w:t>MIA</w:t>
      </w:r>
      <w:r>
        <w:rPr>
          <w:rStyle w:val="s2"/>
        </w:rPr>
        <w:t>）與侵襲性病變的鑑別。透過多科協作（影像、胸腔、病理、外科），建立標準化流程以縮短診斷時間並提升準確性。經驗亦顯示，適當的手術時機與微創手術策略，能在保留肺功能下達到良好預後。整體強調影像與病理整合的重要性，以支持精</w:t>
      </w:r>
      <w:proofErr w:type="gramStart"/>
      <w:r>
        <w:rPr>
          <w:rStyle w:val="s2"/>
        </w:rPr>
        <w:t>準</w:t>
      </w:r>
      <w:proofErr w:type="gramEnd"/>
      <w:r>
        <w:rPr>
          <w:rStyle w:val="s2"/>
        </w:rPr>
        <w:t>治療決策。</w:t>
      </w:r>
    </w:p>
    <w:p w14:paraId="3320C68E" w14:textId="77777777" w:rsidR="00332B7E" w:rsidRDefault="00332B7E">
      <w:pPr>
        <w:pStyle w:val="p3"/>
      </w:pPr>
    </w:p>
    <w:p w14:paraId="0B6E0FCE" w14:textId="77777777" w:rsidR="00332B7E" w:rsidRDefault="00332B7E">
      <w:pPr>
        <w:pStyle w:val="p4"/>
      </w:pPr>
      <w:r>
        <w:rPr>
          <w:rStyle w:val="s3"/>
        </w:rPr>
        <w:t>---</w:t>
      </w:r>
    </w:p>
    <w:p w14:paraId="1860F9A0" w14:textId="77777777" w:rsidR="00332B7E" w:rsidRDefault="00332B7E">
      <w:pPr>
        <w:pStyle w:val="p5"/>
      </w:pPr>
    </w:p>
    <w:p w14:paraId="5B5533E8" w14:textId="77777777" w:rsidR="00332B7E" w:rsidRDefault="00332B7E">
      <w:pPr>
        <w:pStyle w:val="p1"/>
        <w:rPr>
          <w:rFonts w:hint="eastAsia"/>
        </w:rPr>
      </w:pPr>
      <w:r>
        <w:rPr>
          <w:rStyle w:val="s1"/>
        </w:rPr>
        <w:t xml:space="preserve">3. </w:t>
      </w:r>
      <w:r>
        <w:rPr>
          <w:rStyle w:val="s1"/>
        </w:rPr>
        <w:t>建立肺結節多專科團隊之效益分析</w:t>
      </w:r>
    </w:p>
    <w:p w14:paraId="6EB541BE" w14:textId="77777777" w:rsidR="00332B7E" w:rsidRDefault="00332B7E">
      <w:pPr>
        <w:pStyle w:val="p2"/>
        <w:rPr>
          <w:rFonts w:hint="eastAsia"/>
        </w:rPr>
      </w:pPr>
      <w:r>
        <w:rPr>
          <w:rStyle w:val="s2"/>
        </w:rPr>
        <w:lastRenderedPageBreak/>
        <w:t>本主題探討多專科團隊（</w:t>
      </w:r>
      <w:r>
        <w:rPr>
          <w:rStyle w:val="s2"/>
        </w:rPr>
        <w:t>MDT</w:t>
      </w:r>
      <w:r>
        <w:rPr>
          <w:rStyle w:val="s2"/>
        </w:rPr>
        <w:t>）在肺結節管理中的臨床與系統效益。透過整合胸腔內科、胸腔外科、放射科、病理科及個案管理師，可提升診斷一致性與治療決策品質。</w:t>
      </w:r>
      <w:r>
        <w:rPr>
          <w:rStyle w:val="s2"/>
        </w:rPr>
        <w:t>MDT</w:t>
      </w:r>
      <w:r>
        <w:rPr>
          <w:rStyle w:val="s2"/>
        </w:rPr>
        <w:t>運作能減少不必要檢查與重複就醫，縮短診斷至治療時間（</w:t>
      </w:r>
      <w:r>
        <w:rPr>
          <w:rStyle w:val="s2"/>
        </w:rPr>
        <w:t>time to treatment</w:t>
      </w:r>
      <w:r>
        <w:rPr>
          <w:rStyle w:val="s2"/>
        </w:rPr>
        <w:t>），並降低醫療資源浪費。從患者層面來看，可提升醫療體驗與遵從性，並促進共享決策（</w:t>
      </w:r>
      <w:r>
        <w:rPr>
          <w:rStyle w:val="s2"/>
        </w:rPr>
        <w:t>SDM</w:t>
      </w:r>
      <w:r>
        <w:rPr>
          <w:rStyle w:val="s2"/>
        </w:rPr>
        <w:t>）。</w:t>
      </w:r>
      <w:proofErr w:type="gramStart"/>
      <w:r>
        <w:rPr>
          <w:rStyle w:val="s2"/>
        </w:rPr>
        <w:t>此外，</w:t>
      </w:r>
      <w:proofErr w:type="gramEnd"/>
      <w:r>
        <w:rPr>
          <w:rStyle w:val="s2"/>
        </w:rPr>
        <w:t>導入標準流程與數據追蹤有助於品質監測與醫療績效提升。效益分析亦涵蓋成本效益與長期預後改善，支持</w:t>
      </w:r>
      <w:r>
        <w:rPr>
          <w:rStyle w:val="s2"/>
        </w:rPr>
        <w:t>MDT</w:t>
      </w:r>
      <w:r>
        <w:rPr>
          <w:rStyle w:val="s2"/>
        </w:rPr>
        <w:t>作為肺癌照護體系中的關鍵架構。</w:t>
      </w:r>
    </w:p>
    <w:p w14:paraId="3AA7F688" w14:textId="77777777" w:rsidR="00332B7E" w:rsidRDefault="00332B7E">
      <w:pPr>
        <w:pStyle w:val="p3"/>
      </w:pPr>
    </w:p>
    <w:p w14:paraId="58A99772" w14:textId="77777777" w:rsidR="00332B7E" w:rsidRDefault="00332B7E">
      <w:pPr>
        <w:pStyle w:val="p4"/>
      </w:pPr>
      <w:r>
        <w:rPr>
          <w:rStyle w:val="s3"/>
        </w:rPr>
        <w:t>---</w:t>
      </w:r>
    </w:p>
    <w:p w14:paraId="7D23DAA9" w14:textId="77777777" w:rsidR="00332B7E" w:rsidRDefault="00332B7E">
      <w:pPr>
        <w:pStyle w:val="p5"/>
      </w:pPr>
    </w:p>
    <w:p w14:paraId="638874F6" w14:textId="77777777" w:rsidR="00332B7E" w:rsidRDefault="00332B7E">
      <w:pPr>
        <w:pStyle w:val="p1"/>
        <w:rPr>
          <w:rFonts w:hint="eastAsia"/>
        </w:rPr>
      </w:pPr>
      <w:r>
        <w:rPr>
          <w:rStyle w:val="s1"/>
        </w:rPr>
        <w:t xml:space="preserve">4. </w:t>
      </w:r>
      <w:r>
        <w:rPr>
          <w:rStyle w:val="s1"/>
        </w:rPr>
        <w:t>次世代定序（</w:t>
      </w:r>
      <w:r>
        <w:rPr>
          <w:rStyle w:val="s1"/>
        </w:rPr>
        <w:t>NGS</w:t>
      </w:r>
      <w:r>
        <w:rPr>
          <w:rStyle w:val="s1"/>
        </w:rPr>
        <w:t>）在晚期肺癌的臨床應用</w:t>
      </w:r>
    </w:p>
    <w:p w14:paraId="04FBED0B" w14:textId="77777777" w:rsidR="00332B7E" w:rsidRDefault="00332B7E">
      <w:pPr>
        <w:pStyle w:val="p2"/>
        <w:rPr>
          <w:rFonts w:hint="eastAsia"/>
        </w:rPr>
      </w:pPr>
      <w:r>
        <w:rPr>
          <w:rStyle w:val="s2"/>
        </w:rPr>
        <w:t>本主題聚焦</w:t>
      </w:r>
      <w:r>
        <w:rPr>
          <w:rStyle w:val="s2"/>
        </w:rPr>
        <w:t>NGS</w:t>
      </w:r>
      <w:r>
        <w:rPr>
          <w:rStyle w:val="s2"/>
        </w:rPr>
        <w:t>在晚期非小細胞肺癌（</w:t>
      </w:r>
      <w:r>
        <w:rPr>
          <w:rStyle w:val="s2"/>
        </w:rPr>
        <w:t>NSCLC</w:t>
      </w:r>
      <w:r>
        <w:rPr>
          <w:rStyle w:val="s2"/>
        </w:rPr>
        <w:t>）中的關鍵角色，特別是在驅動基因突變檢測與治療分層。</w:t>
      </w:r>
      <w:r>
        <w:rPr>
          <w:rStyle w:val="s2"/>
        </w:rPr>
        <w:t>NGS</w:t>
      </w:r>
      <w:r>
        <w:rPr>
          <w:rStyle w:val="s2"/>
        </w:rPr>
        <w:t>可一次性分析多重基因（如</w:t>
      </w:r>
      <w:r>
        <w:rPr>
          <w:rStyle w:val="s2"/>
        </w:rPr>
        <w:t>EGFR</w:t>
      </w:r>
      <w:r>
        <w:rPr>
          <w:rStyle w:val="s2"/>
        </w:rPr>
        <w:t>、</w:t>
      </w:r>
      <w:r>
        <w:rPr>
          <w:rStyle w:val="s2"/>
        </w:rPr>
        <w:t>ALK</w:t>
      </w:r>
      <w:r>
        <w:rPr>
          <w:rStyle w:val="s2"/>
        </w:rPr>
        <w:t>、</w:t>
      </w:r>
      <w:r>
        <w:rPr>
          <w:rStyle w:val="s2"/>
        </w:rPr>
        <w:t>ROS1</w:t>
      </w:r>
      <w:r>
        <w:rPr>
          <w:rStyle w:val="s2"/>
        </w:rPr>
        <w:t>、</w:t>
      </w:r>
      <w:r>
        <w:rPr>
          <w:rStyle w:val="s2"/>
        </w:rPr>
        <w:t>BRAF</w:t>
      </w:r>
      <w:r>
        <w:rPr>
          <w:rStyle w:val="s2"/>
        </w:rPr>
        <w:t>、</w:t>
      </w:r>
      <w:r>
        <w:rPr>
          <w:rStyle w:val="s2"/>
        </w:rPr>
        <w:t>MET</w:t>
      </w:r>
      <w:r>
        <w:rPr>
          <w:rStyle w:val="s2"/>
        </w:rPr>
        <w:t>、</w:t>
      </w:r>
      <w:r>
        <w:rPr>
          <w:rStyle w:val="s2"/>
        </w:rPr>
        <w:t>RET</w:t>
      </w:r>
      <w:r>
        <w:rPr>
          <w:rStyle w:val="s2"/>
        </w:rPr>
        <w:t>、</w:t>
      </w:r>
      <w:r>
        <w:rPr>
          <w:rStyle w:val="s2"/>
        </w:rPr>
        <w:t>KRAS</w:t>
      </w:r>
      <w:r>
        <w:rPr>
          <w:rStyle w:val="s2"/>
        </w:rPr>
        <w:t>等），提升檢測效率與樣本利用率，對於組織有限患者尤為重要。臨床應用包括初始治療選擇、抗藥性機制分析（</w:t>
      </w:r>
      <w:r>
        <w:rPr>
          <w:rStyle w:val="s2"/>
        </w:rPr>
        <w:t>on-target/off-target</w:t>
      </w:r>
      <w:r>
        <w:rPr>
          <w:rStyle w:val="s2"/>
        </w:rPr>
        <w:t>）及後線治療策略規劃。</w:t>
      </w:r>
      <w:proofErr w:type="gramStart"/>
      <w:r>
        <w:rPr>
          <w:rStyle w:val="s2"/>
        </w:rPr>
        <w:t>此外，液態活檢</w:t>
      </w:r>
      <w:proofErr w:type="gramEnd"/>
      <w:r>
        <w:rPr>
          <w:rStyle w:val="s2"/>
        </w:rPr>
        <w:t>提供微創的動態監測工具，有助於疾病進展評估。挑戰則包括檢測周轉時間、費用與結果解讀標準化。透過完善報告系統與跨科合作，可最大化</w:t>
      </w:r>
      <w:r>
        <w:rPr>
          <w:rStyle w:val="s2"/>
        </w:rPr>
        <w:t>NGS</w:t>
      </w:r>
      <w:r>
        <w:rPr>
          <w:rStyle w:val="s2"/>
        </w:rPr>
        <w:t>在精</w:t>
      </w:r>
      <w:proofErr w:type="gramStart"/>
      <w:r>
        <w:rPr>
          <w:rStyle w:val="s2"/>
        </w:rPr>
        <w:t>準</w:t>
      </w:r>
      <w:proofErr w:type="gramEnd"/>
      <w:r>
        <w:rPr>
          <w:rStyle w:val="s2"/>
        </w:rPr>
        <w:t>醫療中的價值。</w:t>
      </w:r>
    </w:p>
    <w:p w14:paraId="4FC17325" w14:textId="77777777" w:rsidR="00332B7E" w:rsidRDefault="00332B7E">
      <w:pPr>
        <w:pStyle w:val="p3"/>
      </w:pPr>
    </w:p>
    <w:p w14:paraId="4B6B3C77" w14:textId="77777777" w:rsidR="00332B7E" w:rsidRDefault="00332B7E">
      <w:pPr>
        <w:pStyle w:val="p4"/>
      </w:pPr>
      <w:r>
        <w:rPr>
          <w:rStyle w:val="s3"/>
        </w:rPr>
        <w:t>---</w:t>
      </w:r>
    </w:p>
    <w:p w14:paraId="6BFB7BE4" w14:textId="77777777" w:rsidR="00332B7E" w:rsidRDefault="00332B7E">
      <w:pPr>
        <w:pStyle w:val="p5"/>
      </w:pPr>
    </w:p>
    <w:p w14:paraId="29CCD1CA" w14:textId="77777777" w:rsidR="00332B7E" w:rsidRDefault="00332B7E">
      <w:pPr>
        <w:pStyle w:val="p1"/>
        <w:rPr>
          <w:rFonts w:hint="eastAsia"/>
        </w:rPr>
      </w:pPr>
      <w:r>
        <w:rPr>
          <w:rStyle w:val="s1"/>
        </w:rPr>
        <w:t>5. CROWN 7</w:t>
      </w:r>
      <w:r>
        <w:rPr>
          <w:rStyle w:val="s1"/>
        </w:rPr>
        <w:t>年數據探討</w:t>
      </w:r>
      <w:r>
        <w:rPr>
          <w:rStyle w:val="s1"/>
        </w:rPr>
        <w:t xml:space="preserve"> ALK+ aNSCLC </w:t>
      </w:r>
      <w:r>
        <w:rPr>
          <w:rStyle w:val="s1"/>
        </w:rPr>
        <w:t>治療策略</w:t>
      </w:r>
    </w:p>
    <w:p w14:paraId="319904E1" w14:textId="77777777" w:rsidR="00332B7E" w:rsidRDefault="00332B7E">
      <w:pPr>
        <w:pStyle w:val="p2"/>
        <w:rPr>
          <w:rFonts w:hint="eastAsia"/>
        </w:rPr>
      </w:pPr>
      <w:r>
        <w:rPr>
          <w:rStyle w:val="s2"/>
        </w:rPr>
        <w:t>本主題回顧</w:t>
      </w:r>
      <w:r>
        <w:rPr>
          <w:rStyle w:val="s2"/>
        </w:rPr>
        <w:t>CROWN</w:t>
      </w:r>
      <w:r>
        <w:rPr>
          <w:rStyle w:val="s2"/>
        </w:rPr>
        <w:t>試驗長期追蹤結果，評估第三代</w:t>
      </w:r>
      <w:r>
        <w:rPr>
          <w:rStyle w:val="s2"/>
        </w:rPr>
        <w:t>ALK</w:t>
      </w:r>
      <w:r>
        <w:rPr>
          <w:rStyle w:val="s2"/>
        </w:rPr>
        <w:t>抑制劑在晚期</w:t>
      </w:r>
      <w:r>
        <w:rPr>
          <w:rStyle w:val="s2"/>
        </w:rPr>
        <w:t>ALK</w:t>
      </w:r>
      <w:r>
        <w:rPr>
          <w:rStyle w:val="s2"/>
        </w:rPr>
        <w:t>陽性</w:t>
      </w:r>
      <w:r>
        <w:rPr>
          <w:rStyle w:val="s2"/>
        </w:rPr>
        <w:t>NSCLC</w:t>
      </w:r>
      <w:r>
        <w:rPr>
          <w:rStyle w:val="s2"/>
        </w:rPr>
        <w:t>之療效與安全性。七年數據顯示持續的無疾病進展生存期（</w:t>
      </w:r>
      <w:r>
        <w:rPr>
          <w:rStyle w:val="s2"/>
        </w:rPr>
        <w:t>PFS</w:t>
      </w:r>
      <w:r>
        <w:rPr>
          <w:rStyle w:val="s2"/>
        </w:rPr>
        <w:t>）優勢及良好的中樞神經系統（</w:t>
      </w:r>
      <w:r>
        <w:rPr>
          <w:rStyle w:val="s2"/>
        </w:rPr>
        <w:t>CNS</w:t>
      </w:r>
      <w:r>
        <w:rPr>
          <w:rStyle w:val="s2"/>
        </w:rPr>
        <w:t>）控制能力，突顯其作為第一線治療的臨床價值。討論包含深度反應率、治療持續性及長期安全性（如代謝相關副作用與神經精神症狀）之管理。另針對抗藥性機制與後續治療序列提出策略思考，例如是否序列使用或</w:t>
      </w:r>
      <w:r>
        <w:rPr>
          <w:rStyle w:val="s2"/>
        </w:rPr>
        <w:t xml:space="preserve"> upfront </w:t>
      </w:r>
      <w:r>
        <w:rPr>
          <w:rStyle w:val="s2"/>
        </w:rPr>
        <w:t>最佳化。整體強調以長期數據支持治療決策，並結合個體化管理以達最佳臨床結果。</w:t>
      </w:r>
    </w:p>
    <w:p w14:paraId="565D050D" w14:textId="77777777" w:rsidR="00332B7E" w:rsidRDefault="00332B7E">
      <w:pPr>
        <w:pStyle w:val="p3"/>
      </w:pPr>
    </w:p>
    <w:p w14:paraId="4997B158" w14:textId="77777777" w:rsidR="00332B7E" w:rsidRDefault="00332B7E">
      <w:pPr>
        <w:pStyle w:val="p4"/>
      </w:pPr>
      <w:r>
        <w:rPr>
          <w:rStyle w:val="s3"/>
        </w:rPr>
        <w:t>---</w:t>
      </w:r>
    </w:p>
    <w:p w14:paraId="5B7B4CD7" w14:textId="77777777" w:rsidR="00332B7E" w:rsidRDefault="00332B7E">
      <w:pPr>
        <w:pStyle w:val="p5"/>
      </w:pPr>
    </w:p>
    <w:p w14:paraId="243FC613" w14:textId="77777777" w:rsidR="00332B7E" w:rsidRDefault="00332B7E">
      <w:pPr>
        <w:pStyle w:val="p1"/>
        <w:rPr>
          <w:rFonts w:hint="eastAsia"/>
        </w:rPr>
      </w:pPr>
      <w:r>
        <w:rPr>
          <w:rStyle w:val="s1"/>
        </w:rPr>
        <w:t xml:space="preserve">6. ROS1+ NSCLC </w:t>
      </w:r>
      <w:r>
        <w:rPr>
          <w:rStyle w:val="s1"/>
        </w:rPr>
        <w:t>台灣臨床案例分享</w:t>
      </w:r>
    </w:p>
    <w:p w14:paraId="3D9E84F2" w14:textId="77777777" w:rsidR="00332B7E" w:rsidRDefault="00332B7E">
      <w:pPr>
        <w:pStyle w:val="p2"/>
        <w:rPr>
          <w:rFonts w:hint="eastAsia"/>
        </w:rPr>
      </w:pPr>
      <w:r>
        <w:rPr>
          <w:rStyle w:val="s2"/>
        </w:rPr>
        <w:t>本主題透過台灣臨床案例，探討</w:t>
      </w:r>
      <w:r>
        <w:rPr>
          <w:rStyle w:val="s2"/>
        </w:rPr>
        <w:t>ROS1</w:t>
      </w:r>
      <w:r>
        <w:rPr>
          <w:rStyle w:val="s2"/>
        </w:rPr>
        <w:t>重排肺癌在真實世界中的診斷與治療挑戰。</w:t>
      </w:r>
      <w:r>
        <w:rPr>
          <w:rStyle w:val="s2"/>
        </w:rPr>
        <w:t>ROS1</w:t>
      </w:r>
      <w:r>
        <w:rPr>
          <w:rStyle w:val="s2"/>
        </w:rPr>
        <w:t>為相對少見但具高度治療敏感性的驅動基因，標靶治療（如</w:t>
      </w:r>
      <w:r>
        <w:rPr>
          <w:rStyle w:val="s2"/>
        </w:rPr>
        <w:t>TKIs</w:t>
      </w:r>
      <w:r>
        <w:rPr>
          <w:rStyle w:val="s2"/>
        </w:rPr>
        <w:t>）可帶來顯著療效。案例重點包括</w:t>
      </w:r>
      <w:r>
        <w:rPr>
          <w:rStyle w:val="s2"/>
        </w:rPr>
        <w:t>NGS</w:t>
      </w:r>
      <w:r>
        <w:rPr>
          <w:rStyle w:val="s2"/>
        </w:rPr>
        <w:t>或</w:t>
      </w:r>
      <w:r>
        <w:rPr>
          <w:rStyle w:val="s2"/>
        </w:rPr>
        <w:t>FISH/IHC</w:t>
      </w:r>
      <w:r>
        <w:rPr>
          <w:rStyle w:val="s2"/>
        </w:rPr>
        <w:t>檢測策略選擇、初始治療反應及疾病進展後之處置。亦討論</w:t>
      </w:r>
      <w:r>
        <w:rPr>
          <w:rStyle w:val="s2"/>
        </w:rPr>
        <w:t>CNS</w:t>
      </w:r>
      <w:r>
        <w:rPr>
          <w:rStyle w:val="s2"/>
        </w:rPr>
        <w:t>轉移管理與不同</w:t>
      </w:r>
      <w:r>
        <w:rPr>
          <w:rStyle w:val="s2"/>
        </w:rPr>
        <w:t>TKI</w:t>
      </w:r>
      <w:r>
        <w:rPr>
          <w:rStyle w:val="s2"/>
        </w:rPr>
        <w:t>之差異（穿透血腦屏障能力）。在抗藥性發生時，需透過</w:t>
      </w:r>
      <w:proofErr w:type="gramStart"/>
      <w:r>
        <w:rPr>
          <w:rStyle w:val="s2"/>
        </w:rPr>
        <w:t>再活檢或</w:t>
      </w:r>
      <w:proofErr w:type="gramEnd"/>
      <w:r>
        <w:rPr>
          <w:rStyle w:val="s2"/>
        </w:rPr>
        <w:t>液態活檢</w:t>
      </w:r>
      <w:proofErr w:type="gramStart"/>
      <w:r>
        <w:rPr>
          <w:rStyle w:val="s2"/>
        </w:rPr>
        <w:t>釐清機</w:t>
      </w:r>
      <w:proofErr w:type="gramEnd"/>
      <w:r>
        <w:rPr>
          <w:rStyle w:val="s2"/>
        </w:rPr>
        <w:t>轉，以指引後續治療。此主題強調真實世界經驗對於補足臨床試驗證據的價值，並促進在地化治療策略優化。</w:t>
      </w:r>
    </w:p>
    <w:p w14:paraId="35C996A1" w14:textId="77777777" w:rsidR="00332B7E" w:rsidRDefault="00332B7E"/>
    <w:sectPr w:rsidR="00332B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Title3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7E"/>
    <w:rsid w:val="00204B12"/>
    <w:rsid w:val="00321E8E"/>
    <w:rsid w:val="00332B7E"/>
    <w:rsid w:val="006E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B6F1A"/>
  <w15:chartTrackingRefBased/>
  <w15:docId w15:val="{033B5B5B-BA6D-6A40-BC87-81D770E5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32B7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2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2B7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2B7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2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2B7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2B7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2B7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2B7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32B7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32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32B7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32B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32B7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32B7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32B7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32B7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32B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2B7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32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2B7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32B7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32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32B7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32B7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32B7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32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32B7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32B7E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332B7E"/>
    <w:pPr>
      <w:widowControl/>
      <w:spacing w:after="180" w:line="240" w:lineRule="auto"/>
    </w:pPr>
    <w:rPr>
      <w:rFonts w:ascii=".AppleSystemUIFont" w:eastAsia="新細明體" w:hAnsi=".AppleSystemUIFont" w:cs="新細明體"/>
      <w:color w:val="000000"/>
      <w:kern w:val="0"/>
      <w:sz w:val="30"/>
      <w:szCs w:val="30"/>
      <w14:ligatures w14:val="none"/>
    </w:rPr>
  </w:style>
  <w:style w:type="paragraph" w:customStyle="1" w:styleId="p2">
    <w:name w:val="p2"/>
    <w:basedOn w:val="a"/>
    <w:rsid w:val="00332B7E"/>
    <w:pPr>
      <w:widowControl/>
      <w:spacing w:after="180" w:line="240" w:lineRule="auto"/>
    </w:pPr>
    <w:rPr>
      <w:rFonts w:ascii=".AppleSystemUIFont" w:eastAsia="新細明體" w:hAnsi=".AppleSystemUIFont" w:cs="新細明體"/>
      <w:color w:val="000000"/>
      <w:kern w:val="0"/>
      <w:sz w:val="26"/>
      <w:szCs w:val="26"/>
      <w14:ligatures w14:val="none"/>
    </w:rPr>
  </w:style>
  <w:style w:type="paragraph" w:customStyle="1" w:styleId="p3">
    <w:name w:val="p3"/>
    <w:basedOn w:val="a"/>
    <w:rsid w:val="00332B7E"/>
    <w:pPr>
      <w:widowControl/>
      <w:spacing w:after="0" w:line="240" w:lineRule="auto"/>
    </w:pPr>
    <w:rPr>
      <w:rFonts w:ascii="新細明體" w:eastAsia="新細明體" w:hAnsi="新細明體" w:cs="新細明體"/>
      <w:color w:val="000000"/>
      <w:kern w:val="0"/>
      <w14:ligatures w14:val="none"/>
    </w:rPr>
  </w:style>
  <w:style w:type="paragraph" w:customStyle="1" w:styleId="p4">
    <w:name w:val="p4"/>
    <w:basedOn w:val="a"/>
    <w:rsid w:val="00332B7E"/>
    <w:pPr>
      <w:widowControl/>
      <w:spacing w:after="0" w:line="240" w:lineRule="auto"/>
    </w:pPr>
    <w:rPr>
      <w:rFonts w:ascii="新細明體" w:eastAsia="新細明體" w:hAnsi="新細明體" w:cs="新細明體"/>
      <w:color w:val="000000"/>
      <w:kern w:val="0"/>
      <w14:ligatures w14:val="none"/>
    </w:rPr>
  </w:style>
  <w:style w:type="paragraph" w:customStyle="1" w:styleId="p5">
    <w:name w:val="p5"/>
    <w:basedOn w:val="a"/>
    <w:rsid w:val="00332B7E"/>
    <w:pPr>
      <w:widowControl/>
      <w:spacing w:after="180" w:line="240" w:lineRule="auto"/>
    </w:pPr>
    <w:rPr>
      <w:rFonts w:ascii="新細明體" w:eastAsia="新細明體" w:hAnsi="新細明體" w:cs="新細明體"/>
      <w:color w:val="000000"/>
      <w:kern w:val="0"/>
      <w14:ligatures w14:val="none"/>
    </w:rPr>
  </w:style>
  <w:style w:type="character" w:customStyle="1" w:styleId="s1">
    <w:name w:val="s1"/>
    <w:basedOn w:val="a0"/>
    <w:rsid w:val="00332B7E"/>
    <w:rPr>
      <w:rFonts w:ascii="UICTFontTextStyleTitle3" w:hAnsi="UICTFontTextStyleTitle3" w:hint="default"/>
      <w:b/>
      <w:bCs/>
      <w:i w:val="0"/>
      <w:iCs w:val="0"/>
      <w:sz w:val="30"/>
      <w:szCs w:val="30"/>
    </w:rPr>
  </w:style>
  <w:style w:type="character" w:customStyle="1" w:styleId="s2">
    <w:name w:val="s2"/>
    <w:basedOn w:val="a0"/>
    <w:rsid w:val="00332B7E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3">
    <w:name w:val="s3"/>
    <w:basedOn w:val="a0"/>
    <w:rsid w:val="00332B7E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2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Zhu, Melody</dc:creator>
  <cp:keywords/>
  <dc:description/>
  <cp:lastModifiedBy>珮甄 許</cp:lastModifiedBy>
  <cp:revision>3</cp:revision>
  <dcterms:created xsi:type="dcterms:W3CDTF">2026-05-12T08:17:00Z</dcterms:created>
  <dcterms:modified xsi:type="dcterms:W3CDTF">2026-06-01T03:22:00Z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a6f01b5-c24b-4fa8-8e8f-cee31f47fe31_Enabled">
    <vt:lpwstr>true</vt:lpwstr>
  </property>
  <property fmtid="{D5CDD505-2E9C-101B-9397-08002B2CF9AE}" pid="3" name="MSIP_Label_fa6f01b5-c24b-4fa8-8e8f-cee31f47fe31_SetDate">
    <vt:lpwstr>2026-05-12T08:16:22Z</vt:lpwstr>
  </property>
  <property fmtid="{D5CDD505-2E9C-101B-9397-08002B2CF9AE}" pid="4" name="MSIP_Label_fa6f01b5-c24b-4fa8-8e8f-cee31f47fe31_Method">
    <vt:lpwstr>Privileged</vt:lpwstr>
  </property>
  <property fmtid="{D5CDD505-2E9C-101B-9397-08002B2CF9AE}" pid="5" name="MSIP_Label_fa6f01b5-c24b-4fa8-8e8f-cee31f47fe31_Name">
    <vt:lpwstr>fa6f01b5-c24b-4fa8-8e8f-cee31f47fe31</vt:lpwstr>
  </property>
  <property fmtid="{D5CDD505-2E9C-101B-9397-08002B2CF9AE}" pid="6" name="MSIP_Label_fa6f01b5-c24b-4fa8-8e8f-cee31f47fe31_SiteId">
    <vt:lpwstr>7a916015-20ae-4ad1-9170-eefd915e9272</vt:lpwstr>
  </property>
  <property fmtid="{D5CDD505-2E9C-101B-9397-08002B2CF9AE}" pid="7" name="MSIP_Label_fa6f01b5-c24b-4fa8-8e8f-cee31f47fe31_ActionId">
    <vt:lpwstr>ad956626-ffda-4bc2-8f78-06efae61fb5b</vt:lpwstr>
  </property>
  <property fmtid="{D5CDD505-2E9C-101B-9397-08002B2CF9AE}" pid="8" name="MSIP_Label_fa6f01b5-c24b-4fa8-8e8f-cee31f47fe31_ContentBits">
    <vt:lpwstr>0</vt:lpwstr>
  </property>
  <property fmtid="{D5CDD505-2E9C-101B-9397-08002B2CF9AE}" pid="9" name="MSIP_Label_fa6f01b5-c24b-4fa8-8e8f-cee31f47fe31_Tag">
    <vt:lpwstr>60, 0, 1, 1</vt:lpwstr>
  </property>
</Properties>
</file>