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DCA" w:rsidRDefault="00104DCA" w:rsidP="00104DCA">
      <w:r>
        <w:t>First-line treatment for EGFR-mutated NSCLC has been transformed by EGFR TKI monotherapy; however, acquired resistance remains inevitable, limiting the durability of long-term disease control. Increasing understanding of resistance biology has driven growing interest in combination strategies aimed at achieving deeper responses and delaying resistance earlier in the disease course.</w:t>
      </w:r>
    </w:p>
    <w:p w:rsidR="00104DCA" w:rsidRDefault="00104DCA" w:rsidP="00104DCA"/>
    <w:p w:rsidR="00104DCA" w:rsidRDefault="00104DCA" w:rsidP="00104DCA">
      <w:r>
        <w:t xml:space="preserve">This presentation will review the evolving treatment landscape beyond EGFR TKI monotherapy and discuss key considerations in first-line treatment selection, including efficacy, tolerability, and treatment sustainability. Particular focus will be placed on the MARIPOSA regimen of </w:t>
      </w:r>
      <w:proofErr w:type="spellStart"/>
      <w:r>
        <w:t>amivantamab</w:t>
      </w:r>
      <w:proofErr w:type="spellEnd"/>
      <w:r>
        <w:t xml:space="preserve"> plus </w:t>
      </w:r>
      <w:proofErr w:type="spellStart"/>
      <w:r>
        <w:t>lazertinib</w:t>
      </w:r>
      <w:proofErr w:type="spellEnd"/>
      <w:r>
        <w:t xml:space="preserve">, which demonstrated clinically meaningful improvement in progression-free survival compared with </w:t>
      </w:r>
      <w:proofErr w:type="spellStart"/>
      <w:r>
        <w:t>osimertinib</w:t>
      </w:r>
      <w:proofErr w:type="spellEnd"/>
      <w:r>
        <w:t>. The biologic rationale and emerging clinical evidence supporting dual EGFR-MET inhibition as a strategy to potentially achieve more durable disease control will also be discussed in the context of current and emerging combination approaches.</w:t>
      </w:r>
    </w:p>
    <w:p w:rsidR="00104DCA" w:rsidRDefault="00104DCA" w:rsidP="00104DCA"/>
    <w:p w:rsidR="00284B2B" w:rsidRDefault="00104DCA" w:rsidP="00104DCA">
      <w:r>
        <w:t xml:space="preserve">In addition, the session will address practical management of treatment-related adverse events, including </w:t>
      </w:r>
      <w:proofErr w:type="spellStart"/>
      <w:r>
        <w:t>SKIPPirr</w:t>
      </w:r>
      <w:proofErr w:type="spellEnd"/>
      <w:r>
        <w:t xml:space="preserve"> for infusion-related reaction mitigation and the COCOON strategy for skin toxicity management, highlighting how proactive toxicity management may support broader implementation of combination therapy in EGFR-mutated NSCLC.</w:t>
      </w:r>
      <w:bookmarkStart w:id="0" w:name="_GoBack"/>
      <w:bookmarkEnd w:id="0"/>
    </w:p>
    <w:sectPr w:rsidR="00284B2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DCA"/>
    <w:rsid w:val="00104DCA"/>
    <w:rsid w:val="00284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84DD0D-CBEB-4CDD-BBD7-6DFA64461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1179</Characters>
  <Application>Microsoft Office Word</Application>
  <DocSecurity>0</DocSecurity>
  <Lines>9</Lines>
  <Paragraphs>2</Paragraphs>
  <ScaleCrop>false</ScaleCrop>
  <Company>臺北榮民總醫院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2026-05-26T08:23:00Z</dcterms:created>
  <dcterms:modified xsi:type="dcterms:W3CDTF">2026-05-26T08:24:00Z</dcterms:modified>
</cp:coreProperties>
</file>