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758E3" w14:textId="77777777" w:rsidR="00FC6204" w:rsidRPr="00D454FE" w:rsidRDefault="00FC6204" w:rsidP="00D454FE">
      <w:pPr>
        <w:jc w:val="center"/>
        <w:rPr>
          <w:b/>
          <w:bCs/>
          <w:sz w:val="36"/>
          <w:szCs w:val="36"/>
        </w:rPr>
      </w:pPr>
      <w:r w:rsidRPr="00D454FE">
        <w:rPr>
          <w:b/>
          <w:bCs/>
          <w:sz w:val="36"/>
          <w:szCs w:val="36"/>
        </w:rPr>
        <w:t>0629</w:t>
      </w:r>
      <w:r w:rsidRPr="00D454FE">
        <w:rPr>
          <w:rFonts w:hint="eastAsia"/>
          <w:b/>
          <w:bCs/>
          <w:sz w:val="36"/>
          <w:szCs w:val="36"/>
        </w:rPr>
        <w:t>會議摘要</w:t>
      </w:r>
    </w:p>
    <w:p w14:paraId="04103228" w14:textId="2BEFE23F" w:rsidR="00FC6204" w:rsidRDefault="00FC6204">
      <w:r>
        <w:t xml:space="preserve"> </w:t>
      </w:r>
    </w:p>
    <w:p w14:paraId="4C3D4460" w14:textId="53CF1221" w:rsidR="00FC6204" w:rsidRDefault="00FC6204" w:rsidP="00D454FE">
      <w:pPr>
        <w:pStyle w:val="p1"/>
        <w:numPr>
          <w:ilvl w:val="0"/>
          <w:numId w:val="1"/>
        </w:numPr>
        <w:rPr>
          <w:rStyle w:val="s1"/>
        </w:rPr>
      </w:pPr>
      <w:r>
        <w:rPr>
          <w:rStyle w:val="s1"/>
        </w:rPr>
        <w:t>Current Therapeutic Landscape and Evolving Treatment Objectives in ALK-Positive Advanced NSCLC</w:t>
      </w:r>
    </w:p>
    <w:p w14:paraId="5ACBB703" w14:textId="77777777" w:rsidR="00FC6204" w:rsidRDefault="00FC6204">
      <w:pPr>
        <w:pStyle w:val="p1"/>
        <w:rPr>
          <w:rFonts w:hint="eastAsia"/>
        </w:rPr>
      </w:pPr>
    </w:p>
    <w:p w14:paraId="612BF7C7" w14:textId="77777777" w:rsidR="00F95C6F" w:rsidRPr="00D454FE" w:rsidRDefault="00FC6204">
      <w:pPr>
        <w:pStyle w:val="p2"/>
        <w:rPr>
          <w:rStyle w:val="s2"/>
          <w:sz w:val="24"/>
          <w:szCs w:val="24"/>
        </w:rPr>
      </w:pPr>
      <w:r w:rsidRPr="00D454FE">
        <w:rPr>
          <w:rStyle w:val="s2"/>
          <w:sz w:val="24"/>
          <w:szCs w:val="24"/>
        </w:rPr>
        <w:t>ALK</w:t>
      </w:r>
      <w:r w:rsidRPr="00D454FE">
        <w:rPr>
          <w:rStyle w:val="s2"/>
          <w:sz w:val="24"/>
          <w:szCs w:val="24"/>
        </w:rPr>
        <w:t>陽性晚期非小細胞肺癌（</w:t>
      </w:r>
      <w:r w:rsidRPr="00D454FE">
        <w:rPr>
          <w:rStyle w:val="s2"/>
          <w:sz w:val="24"/>
          <w:szCs w:val="24"/>
        </w:rPr>
        <w:t>NSCLC</w:t>
      </w:r>
      <w:r w:rsidRPr="00D454FE">
        <w:rPr>
          <w:rStyle w:val="s2"/>
          <w:sz w:val="24"/>
          <w:szCs w:val="24"/>
        </w:rPr>
        <w:t>）之治療已由短期腫瘤控制逐步邁向長期疾病管理。隨著第二與第三代</w:t>
      </w:r>
      <w:r w:rsidRPr="00D454FE">
        <w:rPr>
          <w:rStyle w:val="s2"/>
          <w:sz w:val="24"/>
          <w:szCs w:val="24"/>
        </w:rPr>
        <w:t>ALK</w:t>
      </w:r>
      <w:r w:rsidRPr="00D454FE">
        <w:rPr>
          <w:rStyle w:val="s2"/>
          <w:sz w:val="24"/>
          <w:szCs w:val="24"/>
        </w:rPr>
        <w:t>酪胺酸激酶抑制劑（</w:t>
      </w:r>
      <w:r w:rsidRPr="00D454FE">
        <w:rPr>
          <w:rStyle w:val="s2"/>
          <w:sz w:val="24"/>
          <w:szCs w:val="24"/>
        </w:rPr>
        <w:t>ALK-TKIs</w:t>
      </w:r>
      <w:r w:rsidRPr="00D454FE">
        <w:rPr>
          <w:rStyle w:val="s2"/>
          <w:sz w:val="24"/>
          <w:szCs w:val="24"/>
        </w:rPr>
        <w:t>）的發展，第一線治療的選擇標準亦持續提升，特別是在無惡化存活期（</w:t>
      </w:r>
      <w:r w:rsidRPr="00D454FE">
        <w:rPr>
          <w:rStyle w:val="s2"/>
          <w:sz w:val="24"/>
          <w:szCs w:val="24"/>
        </w:rPr>
        <w:t>PFS</w:t>
      </w:r>
      <w:r w:rsidRPr="00D454FE">
        <w:rPr>
          <w:rStyle w:val="s2"/>
          <w:sz w:val="24"/>
          <w:szCs w:val="24"/>
        </w:rPr>
        <w:t>）、中樞神經系統（</w:t>
      </w:r>
      <w:r w:rsidRPr="00D454FE">
        <w:rPr>
          <w:rStyle w:val="s2"/>
          <w:sz w:val="24"/>
          <w:szCs w:val="24"/>
        </w:rPr>
        <w:t>CNS</w:t>
      </w:r>
      <w:r w:rsidRPr="00D454FE">
        <w:rPr>
          <w:rStyle w:val="s2"/>
          <w:sz w:val="24"/>
          <w:szCs w:val="24"/>
        </w:rPr>
        <w:t>）控制及整體治療持續性方面的表現。</w:t>
      </w:r>
    </w:p>
    <w:p w14:paraId="5BC614D2" w14:textId="77777777" w:rsidR="00F95C6F" w:rsidRPr="00D454FE" w:rsidRDefault="00F95C6F">
      <w:pPr>
        <w:pStyle w:val="p2"/>
        <w:rPr>
          <w:rStyle w:val="s2"/>
          <w:sz w:val="24"/>
          <w:szCs w:val="24"/>
        </w:rPr>
      </w:pPr>
    </w:p>
    <w:p w14:paraId="6575064B" w14:textId="6563670B" w:rsidR="00FC6204" w:rsidRPr="00D454FE" w:rsidRDefault="00FC6204">
      <w:pPr>
        <w:pStyle w:val="p2"/>
        <w:rPr>
          <w:rStyle w:val="s2"/>
          <w:sz w:val="24"/>
          <w:szCs w:val="24"/>
        </w:rPr>
      </w:pPr>
      <w:r w:rsidRPr="00D454FE">
        <w:rPr>
          <w:rStyle w:val="s2"/>
          <w:sz w:val="24"/>
          <w:szCs w:val="24"/>
        </w:rPr>
        <w:t>近期於</w:t>
      </w:r>
      <w:r w:rsidRPr="00D454FE">
        <w:rPr>
          <w:rStyle w:val="s2"/>
          <w:sz w:val="24"/>
          <w:szCs w:val="24"/>
        </w:rPr>
        <w:t>ASCO</w:t>
      </w:r>
      <w:r w:rsidRPr="00D454FE">
        <w:rPr>
          <w:rStyle w:val="s2"/>
          <w:sz w:val="24"/>
          <w:szCs w:val="24"/>
        </w:rPr>
        <w:t>發表之</w:t>
      </w:r>
      <w:proofErr w:type="spellStart"/>
      <w:r w:rsidRPr="00D454FE">
        <w:rPr>
          <w:rStyle w:val="s2"/>
          <w:sz w:val="24"/>
          <w:szCs w:val="24"/>
        </w:rPr>
        <w:t>lorlatinib</w:t>
      </w:r>
      <w:proofErr w:type="spellEnd"/>
      <w:r w:rsidRPr="00D454FE">
        <w:rPr>
          <w:rStyle w:val="s2"/>
          <w:sz w:val="24"/>
          <w:szCs w:val="24"/>
        </w:rPr>
        <w:t>第一線治療長期追蹤數據（約</w:t>
      </w:r>
      <w:r w:rsidRPr="00D454FE">
        <w:rPr>
          <w:rStyle w:val="s2"/>
          <w:sz w:val="24"/>
          <w:szCs w:val="24"/>
        </w:rPr>
        <w:t>7</w:t>
      </w:r>
      <w:r w:rsidRPr="00D454FE">
        <w:rPr>
          <w:rStyle w:val="s2"/>
          <w:sz w:val="24"/>
          <w:szCs w:val="24"/>
        </w:rPr>
        <w:t>年）顯示，多數患者可維持長期疾病控制，進一步支持其在第一線設定中的臨床價值。</w:t>
      </w:r>
    </w:p>
    <w:p w14:paraId="4705B1A0" w14:textId="77777777" w:rsidR="00F95C6F" w:rsidRPr="00D454FE" w:rsidRDefault="00F95C6F">
      <w:pPr>
        <w:pStyle w:val="p2"/>
        <w:rPr>
          <w:rFonts w:hint="eastAsia"/>
          <w:sz w:val="24"/>
          <w:szCs w:val="24"/>
        </w:rPr>
      </w:pPr>
    </w:p>
    <w:p w14:paraId="31BBD978" w14:textId="77777777" w:rsidR="00F95C6F" w:rsidRPr="00D454FE" w:rsidRDefault="00FC6204">
      <w:pPr>
        <w:pStyle w:val="p2"/>
        <w:rPr>
          <w:rStyle w:val="s2"/>
          <w:sz w:val="24"/>
          <w:szCs w:val="24"/>
        </w:rPr>
      </w:pPr>
      <w:proofErr w:type="spellStart"/>
      <w:r w:rsidRPr="00D454FE">
        <w:rPr>
          <w:rStyle w:val="s2"/>
          <w:sz w:val="24"/>
          <w:szCs w:val="24"/>
        </w:rPr>
        <w:t>Lorlatinib</w:t>
      </w:r>
      <w:proofErr w:type="spellEnd"/>
      <w:r w:rsidRPr="00D454FE">
        <w:rPr>
          <w:rStyle w:val="s2"/>
          <w:sz w:val="24"/>
          <w:szCs w:val="24"/>
        </w:rPr>
        <w:t>具備針對廣泛</w:t>
      </w:r>
      <w:r w:rsidRPr="00D454FE">
        <w:rPr>
          <w:rStyle w:val="s2"/>
          <w:sz w:val="24"/>
          <w:szCs w:val="24"/>
        </w:rPr>
        <w:t>ALK</w:t>
      </w:r>
      <w:r w:rsidRPr="00D454FE">
        <w:rPr>
          <w:rStyle w:val="s2"/>
          <w:sz w:val="24"/>
          <w:szCs w:val="24"/>
        </w:rPr>
        <w:t>抗藥性突變的抑制能力及優異的血腦障壁穿透性，使其在預防與治療腦轉移上展現關鍵優勢。相較於早期世代</w:t>
      </w:r>
      <w:r w:rsidRPr="00D454FE">
        <w:rPr>
          <w:rStyle w:val="s2"/>
          <w:sz w:val="24"/>
          <w:szCs w:val="24"/>
        </w:rPr>
        <w:t>TKIs</w:t>
      </w:r>
      <w:r w:rsidRPr="00D454FE">
        <w:rPr>
          <w:rStyle w:val="s2"/>
          <w:sz w:val="24"/>
          <w:szCs w:val="24"/>
        </w:rPr>
        <w:t>，其更全面的靶點覆蓋與深度反應，使「延緩疾病進展與降低後續治療需求」成為可達成的臨床目標。</w:t>
      </w:r>
    </w:p>
    <w:p w14:paraId="2B031D1C" w14:textId="77777777" w:rsidR="00F95C6F" w:rsidRPr="00D454FE" w:rsidRDefault="00F95C6F">
      <w:pPr>
        <w:pStyle w:val="p2"/>
        <w:rPr>
          <w:rStyle w:val="s2"/>
          <w:sz w:val="24"/>
          <w:szCs w:val="24"/>
        </w:rPr>
      </w:pPr>
    </w:p>
    <w:p w14:paraId="0F1CC812" w14:textId="0E92A651" w:rsidR="00FC6204" w:rsidRPr="00D454FE" w:rsidRDefault="00FC6204">
      <w:pPr>
        <w:pStyle w:val="p2"/>
        <w:rPr>
          <w:rStyle w:val="s2"/>
          <w:sz w:val="24"/>
          <w:szCs w:val="24"/>
        </w:rPr>
      </w:pPr>
      <w:r w:rsidRPr="00D454FE">
        <w:rPr>
          <w:rStyle w:val="s2"/>
          <w:sz w:val="24"/>
          <w:szCs w:val="24"/>
        </w:rPr>
        <w:t>此外，長期數據亦顯示其療效可跨越不同基線特徵，包括是否合併腦轉移之患者族群。在此治療轉變下，第一線策略不僅考量初始療效，更重視長期疾病控制潛力與治療序列最佳化。</w:t>
      </w:r>
    </w:p>
    <w:p w14:paraId="6EA0F70E" w14:textId="77777777" w:rsidR="00D42CB1" w:rsidRDefault="00D42CB1">
      <w:pPr>
        <w:pStyle w:val="p2"/>
        <w:rPr>
          <w:rStyle w:val="s2"/>
        </w:rPr>
      </w:pPr>
    </w:p>
    <w:p w14:paraId="2965C84A" w14:textId="77777777" w:rsidR="00D42CB1" w:rsidRDefault="00D42CB1">
      <w:pPr>
        <w:pStyle w:val="p2"/>
        <w:rPr>
          <w:rStyle w:val="s2"/>
        </w:rPr>
      </w:pPr>
    </w:p>
    <w:p w14:paraId="64E4ECBC" w14:textId="4E08B2A8" w:rsidR="00D454FE" w:rsidRDefault="00D454FE">
      <w:pPr>
        <w:pStyle w:val="p1"/>
        <w:rPr>
          <w:rStyle w:val="s1"/>
        </w:rPr>
      </w:pPr>
      <w:r>
        <w:rPr>
          <w:rStyle w:val="s1"/>
        </w:rPr>
        <w:t xml:space="preserve">2. Clinical Observations and Management Approaches for </w:t>
      </w:r>
      <w:proofErr w:type="spellStart"/>
      <w:r>
        <w:rPr>
          <w:rStyle w:val="s1"/>
        </w:rPr>
        <w:t>Lorlatinib-Associated</w:t>
      </w:r>
      <w:proofErr w:type="spellEnd"/>
      <w:r>
        <w:rPr>
          <w:rStyle w:val="s1"/>
        </w:rPr>
        <w:t xml:space="preserve"> Hyperlipidemia</w:t>
      </w:r>
    </w:p>
    <w:p w14:paraId="20421F58" w14:textId="77777777" w:rsidR="00D454FE" w:rsidRDefault="00D454FE">
      <w:pPr>
        <w:pStyle w:val="p1"/>
      </w:pPr>
    </w:p>
    <w:p w14:paraId="3D5AC462" w14:textId="77777777" w:rsidR="00D454FE" w:rsidRPr="00D454FE" w:rsidRDefault="00D454FE">
      <w:pPr>
        <w:pStyle w:val="p2"/>
        <w:rPr>
          <w:rStyle w:val="s2"/>
          <w:sz w:val="24"/>
          <w:szCs w:val="24"/>
        </w:rPr>
      </w:pPr>
      <w:proofErr w:type="spellStart"/>
      <w:r w:rsidRPr="00D454FE">
        <w:rPr>
          <w:rStyle w:val="s2"/>
          <w:sz w:val="24"/>
          <w:szCs w:val="24"/>
        </w:rPr>
        <w:t>Lorlatinib</w:t>
      </w:r>
      <w:proofErr w:type="spellEnd"/>
      <w:r w:rsidRPr="00D454FE">
        <w:rPr>
          <w:rStyle w:val="s2"/>
          <w:sz w:val="24"/>
          <w:szCs w:val="24"/>
        </w:rPr>
        <w:t>為具高效力及良好中樞神經穿透性的第三代</w:t>
      </w:r>
      <w:r w:rsidRPr="00D454FE">
        <w:rPr>
          <w:rStyle w:val="s2"/>
          <w:sz w:val="24"/>
          <w:szCs w:val="24"/>
        </w:rPr>
        <w:t>ALK</w:t>
      </w:r>
      <w:r w:rsidRPr="00D454FE">
        <w:rPr>
          <w:rStyle w:val="s2"/>
          <w:sz w:val="24"/>
          <w:szCs w:val="24"/>
        </w:rPr>
        <w:t>抑制劑，在臨床上帶來顯著療效，但其特有的代謝相關副作用，尤其是高血脂（包括高膽固醇與高三酸甘油脂），已成為長期治療中需關注的重要議題。臨床試驗與真實世界</w:t>
      </w:r>
      <w:r w:rsidRPr="00D454FE">
        <w:rPr>
          <w:rStyle w:val="s2"/>
          <w:sz w:val="24"/>
          <w:szCs w:val="24"/>
        </w:rPr>
        <w:lastRenderedPageBreak/>
        <w:t>經驗顯示，多數接受</w:t>
      </w:r>
      <w:proofErr w:type="spellStart"/>
      <w:r w:rsidRPr="00D454FE">
        <w:rPr>
          <w:rStyle w:val="s2"/>
          <w:sz w:val="24"/>
          <w:szCs w:val="24"/>
        </w:rPr>
        <w:t>lorlatinib</w:t>
      </w:r>
      <w:proofErr w:type="spellEnd"/>
      <w:r w:rsidRPr="00D454FE">
        <w:rPr>
          <w:rStyle w:val="s2"/>
          <w:sz w:val="24"/>
          <w:szCs w:val="24"/>
        </w:rPr>
        <w:t>治療之患者會出現不同程度的血脂上升，通常發生於治療初期，且多為可逆且可透過藥物控制。</w:t>
      </w:r>
    </w:p>
    <w:p w14:paraId="140CD22C" w14:textId="77777777" w:rsidR="00D454FE" w:rsidRPr="00D454FE" w:rsidRDefault="00D454FE">
      <w:pPr>
        <w:pStyle w:val="p2"/>
        <w:rPr>
          <w:rFonts w:hint="eastAsia"/>
          <w:sz w:val="24"/>
          <w:szCs w:val="24"/>
        </w:rPr>
      </w:pPr>
    </w:p>
    <w:p w14:paraId="5E2CC681" w14:textId="77777777" w:rsidR="00D454FE" w:rsidRPr="00D454FE" w:rsidRDefault="00D454FE">
      <w:pPr>
        <w:pStyle w:val="p2"/>
        <w:rPr>
          <w:rStyle w:val="s2"/>
          <w:sz w:val="24"/>
          <w:szCs w:val="24"/>
        </w:rPr>
      </w:pPr>
      <w:r w:rsidRPr="00D454FE">
        <w:rPr>
          <w:rStyle w:val="s2"/>
          <w:sz w:val="24"/>
          <w:szCs w:val="24"/>
        </w:rPr>
        <w:t>目前建議於治療前評估基線血脂，並於治療初期密切監測，及早介入管理。降血脂藥物（如</w:t>
      </w:r>
      <w:r w:rsidRPr="00D454FE">
        <w:rPr>
          <w:rStyle w:val="s2"/>
          <w:sz w:val="24"/>
          <w:szCs w:val="24"/>
        </w:rPr>
        <w:t>statins</w:t>
      </w:r>
      <w:r w:rsidRPr="00D454FE">
        <w:rPr>
          <w:rStyle w:val="s2"/>
          <w:sz w:val="24"/>
          <w:szCs w:val="24"/>
        </w:rPr>
        <w:t>或</w:t>
      </w:r>
      <w:proofErr w:type="spellStart"/>
      <w:r w:rsidRPr="00D454FE">
        <w:rPr>
          <w:rStyle w:val="s2"/>
          <w:sz w:val="24"/>
          <w:szCs w:val="24"/>
        </w:rPr>
        <w:t>fibrates</w:t>
      </w:r>
      <w:proofErr w:type="spellEnd"/>
      <w:r w:rsidRPr="00D454FE">
        <w:rPr>
          <w:rStyle w:val="s2"/>
          <w:sz w:val="24"/>
          <w:szCs w:val="24"/>
        </w:rPr>
        <w:t>）為主要處置方式，但需注意與</w:t>
      </w:r>
      <w:proofErr w:type="spellStart"/>
      <w:r w:rsidRPr="00D454FE">
        <w:rPr>
          <w:rStyle w:val="s2"/>
          <w:sz w:val="24"/>
          <w:szCs w:val="24"/>
        </w:rPr>
        <w:t>lorlatinib</w:t>
      </w:r>
      <w:proofErr w:type="spellEnd"/>
      <w:r w:rsidRPr="00D454FE">
        <w:rPr>
          <w:rStyle w:val="s2"/>
          <w:sz w:val="24"/>
          <w:szCs w:val="24"/>
        </w:rPr>
        <w:t>之藥物交互作用及患者個別心血管風險。臨床實務中，多數患者可在不需中斷抗癌治療的情況下妥善控制血脂，維持治療連續性。</w:t>
      </w:r>
    </w:p>
    <w:p w14:paraId="3146A293" w14:textId="77777777" w:rsidR="00D454FE" w:rsidRPr="00D454FE" w:rsidRDefault="00D454FE">
      <w:pPr>
        <w:pStyle w:val="p2"/>
        <w:rPr>
          <w:rFonts w:hint="eastAsia"/>
          <w:sz w:val="24"/>
          <w:szCs w:val="24"/>
        </w:rPr>
      </w:pPr>
    </w:p>
    <w:p w14:paraId="76C83A12" w14:textId="77777777" w:rsidR="00D454FE" w:rsidRPr="00D454FE" w:rsidRDefault="00D454FE">
      <w:pPr>
        <w:pStyle w:val="p2"/>
        <w:rPr>
          <w:sz w:val="24"/>
          <w:szCs w:val="24"/>
        </w:rPr>
      </w:pPr>
      <w:r w:rsidRPr="00D454FE">
        <w:rPr>
          <w:rStyle w:val="s2"/>
          <w:sz w:val="24"/>
          <w:szCs w:val="24"/>
        </w:rPr>
        <w:t>此外，多專科合作在管理此類副作用中扮演重要角色，特別是心臟內科與胸腔科之間的協作，有助於制定安全且有效的治療計畫。整體而言，透過標準化監測與積極介入，</w:t>
      </w:r>
      <w:proofErr w:type="spellStart"/>
      <w:r w:rsidRPr="00D454FE">
        <w:rPr>
          <w:rStyle w:val="s2"/>
          <w:sz w:val="24"/>
          <w:szCs w:val="24"/>
        </w:rPr>
        <w:t>lorlatinib</w:t>
      </w:r>
      <w:proofErr w:type="spellEnd"/>
      <w:r w:rsidRPr="00D454FE">
        <w:rPr>
          <w:rStyle w:val="s2"/>
          <w:sz w:val="24"/>
          <w:szCs w:val="24"/>
        </w:rPr>
        <w:t>相關高血脂可被良好管理，使患者得以持續接受具臨床效益的標靶治療，達成長期疾病控制目標。</w:t>
      </w:r>
    </w:p>
    <w:p w14:paraId="5AD987BC" w14:textId="77777777" w:rsidR="00D42CB1" w:rsidRPr="00D454FE" w:rsidRDefault="00D42CB1">
      <w:pPr>
        <w:pStyle w:val="p2"/>
        <w:rPr>
          <w:rFonts w:hint="eastAsia"/>
          <w:sz w:val="24"/>
          <w:szCs w:val="24"/>
        </w:rPr>
      </w:pPr>
    </w:p>
    <w:p w14:paraId="6D109A30" w14:textId="77777777" w:rsidR="00FC6204" w:rsidRDefault="00FC6204">
      <w:pPr>
        <w:rPr>
          <w:rFonts w:hint="eastAsia"/>
        </w:rPr>
      </w:pPr>
    </w:p>
    <w:sectPr w:rsidR="00FC62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Title3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A3F11"/>
    <w:multiLevelType w:val="hybridMultilevel"/>
    <w:tmpl w:val="2872133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16919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bordersDoNotSurroundHeader/>
  <w:bordersDoNotSurroundFooter/>
  <w:proofState w:spelling="clean"/>
  <w:revisionView w:formatting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04"/>
    <w:rsid w:val="006E319F"/>
    <w:rsid w:val="00D42CB1"/>
    <w:rsid w:val="00D454FE"/>
    <w:rsid w:val="00F95C6F"/>
    <w:rsid w:val="00FC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06A5B9"/>
  <w15:chartTrackingRefBased/>
  <w15:docId w15:val="{476FC09E-19FE-9C40-A747-F49034D8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C620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62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620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620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62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620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620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620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620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C620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C62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C620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C62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C620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C620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C620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C620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C62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620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C62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620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C62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C62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C620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C620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C620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C62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C620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C620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FC6204"/>
    <w:pPr>
      <w:widowControl/>
      <w:spacing w:after="180" w:line="240" w:lineRule="auto"/>
    </w:pPr>
    <w:rPr>
      <w:rFonts w:ascii=".AppleSystemUIFont" w:eastAsia="新細明體" w:hAnsi=".AppleSystemUIFont" w:cs="新細明體"/>
      <w:color w:val="000000"/>
      <w:kern w:val="0"/>
      <w:sz w:val="30"/>
      <w:szCs w:val="30"/>
      <w14:ligatures w14:val="none"/>
    </w:rPr>
  </w:style>
  <w:style w:type="paragraph" w:customStyle="1" w:styleId="p2">
    <w:name w:val="p2"/>
    <w:basedOn w:val="a"/>
    <w:rsid w:val="00FC6204"/>
    <w:pPr>
      <w:widowControl/>
      <w:spacing w:after="180" w:line="240" w:lineRule="auto"/>
    </w:pPr>
    <w:rPr>
      <w:rFonts w:ascii=".AppleSystemUIFont" w:eastAsia="新細明體" w:hAnsi=".AppleSystemUIFont" w:cs="新細明體"/>
      <w:color w:val="000000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FC6204"/>
    <w:rPr>
      <w:rFonts w:ascii="UICTFontTextStyleTitle3" w:hAnsi="UICTFontTextStyleTitle3" w:hint="default"/>
      <w:b/>
      <w:bCs/>
      <w:i w:val="0"/>
      <w:iCs w:val="0"/>
      <w:sz w:val="30"/>
      <w:szCs w:val="30"/>
    </w:rPr>
  </w:style>
  <w:style w:type="character" w:customStyle="1" w:styleId="s2">
    <w:name w:val="s2"/>
    <w:basedOn w:val="a0"/>
    <w:rsid w:val="00FC6204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Zhu, Melody</dc:creator>
  <cp:keywords/>
  <dc:description/>
  <cp:lastModifiedBy>Zhu, Melody</cp:lastModifiedBy>
  <cp:revision>2</cp:revision>
  <dcterms:created xsi:type="dcterms:W3CDTF">2026-05-12T08:27:00Z</dcterms:created>
  <dcterms:modified xsi:type="dcterms:W3CDTF">2026-05-12T08:27:00Z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a6f01b5-c24b-4fa8-8e8f-cee31f47fe31_Enabled">
    <vt:lpwstr>true</vt:lpwstr>
  </property>
  <property fmtid="{D5CDD505-2E9C-101B-9397-08002B2CF9AE}" pid="3" name="MSIP_Label_fa6f01b5-c24b-4fa8-8e8f-cee31f47fe31_SetDate">
    <vt:lpwstr>2026-05-12T08:23:47Z</vt:lpwstr>
  </property>
  <property fmtid="{D5CDD505-2E9C-101B-9397-08002B2CF9AE}" pid="4" name="MSIP_Label_fa6f01b5-c24b-4fa8-8e8f-cee31f47fe31_Method">
    <vt:lpwstr>Privileged</vt:lpwstr>
  </property>
  <property fmtid="{D5CDD505-2E9C-101B-9397-08002B2CF9AE}" pid="5" name="MSIP_Label_fa6f01b5-c24b-4fa8-8e8f-cee31f47fe31_Name">
    <vt:lpwstr>fa6f01b5-c24b-4fa8-8e8f-cee31f47fe31</vt:lpwstr>
  </property>
  <property fmtid="{D5CDD505-2E9C-101B-9397-08002B2CF9AE}" pid="6" name="MSIP_Label_fa6f01b5-c24b-4fa8-8e8f-cee31f47fe31_SiteId">
    <vt:lpwstr>7a916015-20ae-4ad1-9170-eefd915e9272</vt:lpwstr>
  </property>
  <property fmtid="{D5CDD505-2E9C-101B-9397-08002B2CF9AE}" pid="7" name="MSIP_Label_fa6f01b5-c24b-4fa8-8e8f-cee31f47fe31_ActionId">
    <vt:lpwstr>85d12409-1238-4564-9c0e-1fc33caa6c80</vt:lpwstr>
  </property>
  <property fmtid="{D5CDD505-2E9C-101B-9397-08002B2CF9AE}" pid="8" name="MSIP_Label_fa6f01b5-c24b-4fa8-8e8f-cee31f47fe31_ContentBits">
    <vt:lpwstr>0</vt:lpwstr>
  </property>
  <property fmtid="{D5CDD505-2E9C-101B-9397-08002B2CF9AE}" pid="9" name="MSIP_Label_fa6f01b5-c24b-4fa8-8e8f-cee31f47fe31_Tag">
    <vt:lpwstr>60, 0, 1, 1</vt:lpwstr>
  </property>
</Properties>
</file>